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1C18E38C"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140EAC">
        <w:rPr>
          <w:rFonts w:ascii="Arial" w:hAnsi="Arial" w:cs="Arial"/>
          <w:sz w:val="24"/>
          <w:szCs w:val="28"/>
          <w:lang w:val="en-CA"/>
        </w:rPr>
        <w:t>100</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024636">
        <w:rPr>
          <w:rFonts w:ascii="Arial" w:hAnsi="Arial" w:cs="Arial"/>
          <w:sz w:val="24"/>
          <w:szCs w:val="28"/>
          <w:lang w:val="en-CA"/>
        </w:rPr>
        <w:t>1</w:t>
      </w:r>
      <w:r w:rsidR="00732CB6">
        <w:rPr>
          <w:rFonts w:ascii="Arial" w:hAnsi="Arial" w:cs="Arial"/>
          <w:sz w:val="24"/>
          <w:szCs w:val="28"/>
          <w:lang w:val="en-CA"/>
        </w:rPr>
        <w:t>4164</w:t>
      </w:r>
    </w:p>
    <w:p w14:paraId="4F58942D" w14:textId="297F8FEE"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E34D0D">
        <w:rPr>
          <w:rFonts w:ascii="Arial" w:hAnsi="Arial" w:cs="Arial"/>
          <w:sz w:val="24"/>
          <w:szCs w:val="28"/>
          <w:lang w:val="en-CA"/>
        </w:rPr>
        <w:t>August</w:t>
      </w:r>
      <w:r w:rsidR="00142C2E">
        <w:rPr>
          <w:rFonts w:ascii="Arial" w:hAnsi="Arial" w:cs="Arial"/>
          <w:sz w:val="24"/>
          <w:szCs w:val="28"/>
          <w:lang w:val="en-CA"/>
        </w:rPr>
        <w:t xml:space="preserve"> </w:t>
      </w:r>
      <w:r w:rsidR="00E332F2">
        <w:rPr>
          <w:rFonts w:ascii="Arial" w:hAnsi="Arial" w:cs="Arial"/>
          <w:sz w:val="24"/>
          <w:szCs w:val="28"/>
          <w:lang w:val="en-CA"/>
        </w:rPr>
        <w:t>1</w:t>
      </w:r>
      <w:r w:rsidR="0062706F">
        <w:rPr>
          <w:rFonts w:ascii="Arial" w:hAnsi="Arial" w:cs="Arial"/>
          <w:sz w:val="24"/>
          <w:szCs w:val="28"/>
          <w:lang w:val="en-CA"/>
        </w:rPr>
        <w:t>6</w:t>
      </w:r>
      <w:r w:rsidR="00142C2E">
        <w:rPr>
          <w:rFonts w:ascii="Arial" w:hAnsi="Arial" w:cs="Arial"/>
          <w:sz w:val="24"/>
          <w:szCs w:val="28"/>
          <w:lang w:val="en-CA"/>
        </w:rPr>
        <w:t xml:space="preserve"> </w:t>
      </w:r>
      <w:r w:rsidR="00946E1F">
        <w:rPr>
          <w:rFonts w:ascii="Arial" w:hAnsi="Arial" w:cs="Arial"/>
          <w:sz w:val="24"/>
          <w:szCs w:val="28"/>
          <w:lang w:val="en-CA"/>
        </w:rPr>
        <w:t xml:space="preserve">– </w:t>
      </w:r>
      <w:r w:rsidR="00E332F2">
        <w:rPr>
          <w:rFonts w:ascii="Arial" w:hAnsi="Arial" w:cs="Arial"/>
          <w:sz w:val="24"/>
          <w:szCs w:val="28"/>
          <w:lang w:val="en-CA"/>
        </w:rPr>
        <w:t>2</w:t>
      </w:r>
      <w:r w:rsidR="00714572">
        <w:rPr>
          <w:rFonts w:ascii="Arial" w:hAnsi="Arial" w:cs="Arial"/>
          <w:sz w:val="24"/>
          <w:szCs w:val="28"/>
          <w:lang w:val="en-CA"/>
        </w:rPr>
        <w:t>7</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51AC08BB" w:rsidR="00D80957" w:rsidRPr="00E83C6C" w:rsidRDefault="00D80957" w:rsidP="0033186E">
      <w:pPr>
        <w:tabs>
          <w:tab w:val="left" w:pos="1985"/>
        </w:tabs>
        <w:spacing w:before="240" w:after="0"/>
        <w:jc w:val="both"/>
        <w:rPr>
          <w:rFonts w:ascii="Arial" w:hAnsi="Arial" w:cs="Arial"/>
          <w:bCs/>
          <w:sz w:val="22"/>
          <w:szCs w:val="22"/>
          <w:lang w:val="en-US"/>
        </w:rPr>
      </w:pPr>
      <w:r w:rsidRPr="00E83C6C">
        <w:rPr>
          <w:rFonts w:ascii="Arial" w:hAnsi="Arial" w:cs="Arial"/>
          <w:b/>
          <w:sz w:val="22"/>
          <w:szCs w:val="22"/>
          <w:lang w:val="en-US"/>
        </w:rPr>
        <w:t>Agenda Item:</w:t>
      </w:r>
      <w:r w:rsidRPr="00E83C6C">
        <w:rPr>
          <w:rFonts w:ascii="Arial" w:hAnsi="Arial" w:cs="Arial"/>
          <w:b/>
          <w:sz w:val="22"/>
          <w:szCs w:val="22"/>
          <w:lang w:val="en-US"/>
        </w:rPr>
        <w:tab/>
      </w:r>
      <w:r w:rsidR="0019334F">
        <w:rPr>
          <w:rFonts w:ascii="Arial" w:hAnsi="Arial" w:cs="Arial"/>
          <w:sz w:val="22"/>
          <w:szCs w:val="22"/>
          <w:lang w:val="en-US"/>
        </w:rPr>
        <w:t>5</w:t>
      </w:r>
      <w:r w:rsidR="00BF7082">
        <w:rPr>
          <w:rFonts w:ascii="Arial" w:hAnsi="Arial" w:cs="Arial"/>
          <w:sz w:val="22"/>
          <w:szCs w:val="22"/>
          <w:lang w:val="en-US"/>
        </w:rPr>
        <w:t>.</w:t>
      </w:r>
      <w:r w:rsidR="0019334F">
        <w:rPr>
          <w:rFonts w:ascii="Arial" w:hAnsi="Arial" w:cs="Arial"/>
          <w:sz w:val="22"/>
          <w:szCs w:val="22"/>
          <w:lang w:val="en-US"/>
        </w:rPr>
        <w:t>1</w:t>
      </w:r>
      <w:r w:rsidR="00BF7082">
        <w:rPr>
          <w:rFonts w:ascii="Arial" w:hAnsi="Arial" w:cs="Arial"/>
          <w:sz w:val="22"/>
          <w:szCs w:val="22"/>
          <w:lang w:val="en-US"/>
        </w:rPr>
        <w:t>.</w:t>
      </w:r>
      <w:r w:rsidR="0019334F">
        <w:rPr>
          <w:rFonts w:ascii="Arial" w:hAnsi="Arial" w:cs="Arial"/>
          <w:sz w:val="22"/>
          <w:szCs w:val="22"/>
          <w:lang w:val="en-US"/>
        </w:rPr>
        <w:t>8</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4D15DD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460F7">
        <w:rPr>
          <w:rFonts w:ascii="Arial" w:hAnsi="Arial" w:cs="Arial"/>
          <w:sz w:val="22"/>
          <w:szCs w:val="22"/>
          <w:lang w:val="en-CA"/>
        </w:rPr>
        <w:t>Rel-15 TCs with mix of carriers in LTE/FR1 and FR2</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1873B9F" w14:textId="37F2E10C" w:rsidR="006C13FB" w:rsidRDefault="0019334F" w:rsidP="00E16AC3">
      <w:pPr>
        <w:spacing w:before="240"/>
        <w:rPr>
          <w:sz w:val="22"/>
          <w:lang w:val="en-CA"/>
        </w:rPr>
      </w:pPr>
      <w:r>
        <w:rPr>
          <w:sz w:val="22"/>
          <w:lang w:val="en-CA"/>
        </w:rPr>
        <w:t xml:space="preserve">Testability with respect to combinations of NR FR1 and FR2, and LTE and NR FR2, has been discussed since the </w:t>
      </w:r>
      <w:r w:rsidR="006C13FB">
        <w:rPr>
          <w:sz w:val="22"/>
          <w:lang w:val="en-CA"/>
        </w:rPr>
        <w:t>early</w:t>
      </w:r>
      <w:r>
        <w:rPr>
          <w:sz w:val="22"/>
          <w:lang w:val="en-CA"/>
        </w:rPr>
        <w:t xml:space="preserve"> release of NR. The main issue is that</w:t>
      </w:r>
      <w:r w:rsidR="006C13FB">
        <w:rPr>
          <w:sz w:val="22"/>
          <w:lang w:val="en-CA"/>
        </w:rPr>
        <w:t xml:space="preserve"> the NR FR1 and LTE testing methodology has been developed based on conductive testing, whereas NR FR2 requires over-the-air testing. When testing both frequency ranges at the same time, it means that NR FR1 or LTE need to be tested over-the-air. The performance that can be guaranteed when testing NR FR1 or LTE over-the-air is still unclear, hence this can have an impact on test cases that depend e.g. on the time </w:t>
      </w:r>
      <w:r w:rsidR="002D2B73">
        <w:rPr>
          <w:sz w:val="22"/>
          <w:lang w:val="en-CA"/>
        </w:rPr>
        <w:t>between receiving a trigger in NR FR1 and completion of actions in NR FR2.</w:t>
      </w:r>
    </w:p>
    <w:p w14:paraId="0CF3662F" w14:textId="45A58EF8" w:rsidR="0019334F" w:rsidRDefault="006C13FB" w:rsidP="00E16AC3">
      <w:pPr>
        <w:spacing w:before="240"/>
        <w:rPr>
          <w:sz w:val="22"/>
          <w:lang w:val="en-CA"/>
        </w:rPr>
      </w:pPr>
      <w:r>
        <w:rPr>
          <w:sz w:val="22"/>
          <w:lang w:val="en-CA"/>
        </w:rPr>
        <w:t xml:space="preserve">The issue was further discussed during RAN4#99-e and the outcome was captured in a WF </w:t>
      </w:r>
      <w:r>
        <w:rPr>
          <w:sz w:val="22"/>
          <w:lang w:val="en-CA"/>
        </w:rPr>
        <w:fldChar w:fldCharType="begin"/>
      </w:r>
      <w:r>
        <w:rPr>
          <w:sz w:val="22"/>
          <w:lang w:val="en-CA"/>
        </w:rPr>
        <w:instrText xml:space="preserve"> REF _Ref78527252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where the following is stated:</w:t>
      </w:r>
    </w:p>
    <w:tbl>
      <w:tblPr>
        <w:tblStyle w:val="TableGrid"/>
        <w:tblW w:w="0" w:type="auto"/>
        <w:tblLook w:val="04A0" w:firstRow="1" w:lastRow="0" w:firstColumn="1" w:lastColumn="0" w:noHBand="0" w:noVBand="1"/>
      </w:tblPr>
      <w:tblGrid>
        <w:gridCol w:w="9629"/>
      </w:tblGrid>
      <w:tr w:rsidR="0019334F" w14:paraId="3348FD0C" w14:textId="77777777" w:rsidTr="0019334F">
        <w:tc>
          <w:tcPr>
            <w:tcW w:w="9629" w:type="dxa"/>
          </w:tcPr>
          <w:p w14:paraId="6A82080D" w14:textId="77777777" w:rsidR="0019334F" w:rsidRPr="006C13FB" w:rsidRDefault="0019334F" w:rsidP="0019334F">
            <w:pPr>
              <w:spacing w:after="0"/>
              <w:rPr>
                <w:rFonts w:ascii="Arial" w:hAnsi="Arial" w:cs="Arial"/>
                <w:b/>
                <w:bCs/>
                <w:szCs w:val="18"/>
              </w:rPr>
            </w:pPr>
            <w:r w:rsidRPr="006C13FB">
              <w:rPr>
                <w:rFonts w:ascii="Arial" w:hAnsi="Arial" w:cs="Arial"/>
                <w:b/>
                <w:bCs/>
                <w:szCs w:val="18"/>
              </w:rPr>
              <w:t>Further considerations on LTE/FR1+FR2 test case design</w:t>
            </w:r>
          </w:p>
          <w:p w14:paraId="1F090C64" w14:textId="77777777" w:rsidR="0019334F" w:rsidRPr="0019334F" w:rsidRDefault="0019334F" w:rsidP="001A0FE3">
            <w:pPr>
              <w:numPr>
                <w:ilvl w:val="0"/>
                <w:numId w:val="16"/>
              </w:numPr>
              <w:tabs>
                <w:tab w:val="num" w:pos="720"/>
              </w:tabs>
              <w:spacing w:after="0"/>
              <w:rPr>
                <w:rFonts w:ascii="Arial" w:hAnsi="Arial" w:cs="Arial"/>
                <w:szCs w:val="18"/>
                <w:lang w:val="en-US"/>
              </w:rPr>
            </w:pPr>
            <w:r w:rsidRPr="0019334F">
              <w:rPr>
                <w:rFonts w:ascii="Arial" w:hAnsi="Arial" w:cs="Arial"/>
                <w:szCs w:val="18"/>
                <w:lang w:val="en-US"/>
              </w:rPr>
              <w:t>Testability issue for RRM test case which requires performance verification on cells of:</w:t>
            </w:r>
          </w:p>
          <w:p w14:paraId="392D1219" w14:textId="77777777" w:rsidR="0019334F" w:rsidRPr="0019334F" w:rsidRDefault="0019334F" w:rsidP="001A0FE3">
            <w:pPr>
              <w:numPr>
                <w:ilvl w:val="1"/>
                <w:numId w:val="17"/>
              </w:numPr>
              <w:spacing w:after="0"/>
              <w:rPr>
                <w:rFonts w:ascii="Arial" w:hAnsi="Arial" w:cs="Arial"/>
                <w:szCs w:val="18"/>
                <w:lang w:val="en-US"/>
              </w:rPr>
            </w:pPr>
            <w:r w:rsidRPr="0019334F">
              <w:rPr>
                <w:rFonts w:ascii="Arial" w:hAnsi="Arial" w:cs="Arial"/>
                <w:szCs w:val="18"/>
                <w:lang w:val="en-US"/>
              </w:rPr>
              <w:t>Both FR1 and FR2 or</w:t>
            </w:r>
          </w:p>
          <w:p w14:paraId="111C24A6" w14:textId="77777777" w:rsidR="0019334F" w:rsidRPr="0019334F" w:rsidRDefault="0019334F" w:rsidP="001A0FE3">
            <w:pPr>
              <w:numPr>
                <w:ilvl w:val="1"/>
                <w:numId w:val="17"/>
              </w:numPr>
              <w:spacing w:after="120"/>
              <w:rPr>
                <w:rFonts w:ascii="Arial" w:hAnsi="Arial" w:cs="Arial"/>
                <w:szCs w:val="18"/>
                <w:lang w:val="en-US"/>
              </w:rPr>
            </w:pPr>
            <w:r w:rsidRPr="0019334F">
              <w:rPr>
                <w:rFonts w:ascii="Arial" w:hAnsi="Arial" w:cs="Arial"/>
                <w:szCs w:val="18"/>
                <w:lang w:val="en-US"/>
              </w:rPr>
              <w:t>Both LTE and FR2</w:t>
            </w:r>
          </w:p>
          <w:p w14:paraId="7FB6A66E" w14:textId="77777777" w:rsidR="0019334F" w:rsidRPr="0019334F" w:rsidRDefault="0019334F" w:rsidP="001A0FE3">
            <w:pPr>
              <w:numPr>
                <w:ilvl w:val="0"/>
                <w:numId w:val="16"/>
              </w:numPr>
              <w:tabs>
                <w:tab w:val="num" w:pos="720"/>
              </w:tabs>
              <w:spacing w:after="0"/>
              <w:rPr>
                <w:rFonts w:ascii="Arial" w:hAnsi="Arial" w:cs="Arial"/>
                <w:szCs w:val="18"/>
                <w:lang w:val="en-US"/>
              </w:rPr>
            </w:pPr>
            <w:r w:rsidRPr="0019334F">
              <w:rPr>
                <w:rFonts w:ascii="Arial" w:hAnsi="Arial" w:cs="Arial"/>
                <w:szCs w:val="18"/>
                <w:lang w:val="en-US"/>
              </w:rPr>
              <w:t>FFS: Criteria to identify/select test cases that can be performed and their performance can be verified out of the test cases with OTA testability issue as identified in bullet # 1:</w:t>
            </w:r>
          </w:p>
          <w:p w14:paraId="1D1BB7A9" w14:textId="77777777" w:rsidR="0019334F" w:rsidRPr="0019334F" w:rsidRDefault="0019334F" w:rsidP="001A0FE3">
            <w:pPr>
              <w:numPr>
                <w:ilvl w:val="1"/>
                <w:numId w:val="18"/>
              </w:numPr>
              <w:spacing w:after="0"/>
              <w:rPr>
                <w:rFonts w:ascii="Arial" w:hAnsi="Arial" w:cs="Arial"/>
                <w:szCs w:val="18"/>
                <w:lang w:val="en-US"/>
              </w:rPr>
            </w:pPr>
            <w:r w:rsidRPr="0019334F">
              <w:rPr>
                <w:rFonts w:ascii="Arial" w:hAnsi="Arial" w:cs="Arial"/>
                <w:szCs w:val="18"/>
                <w:lang w:val="en-US"/>
              </w:rPr>
              <w:t xml:space="preserve">Option 1: Based on power level: </w:t>
            </w:r>
          </w:p>
          <w:p w14:paraId="4B617EDF" w14:textId="77777777" w:rsidR="0019334F" w:rsidRPr="0019334F" w:rsidRDefault="0019334F" w:rsidP="001A0FE3">
            <w:pPr>
              <w:numPr>
                <w:ilvl w:val="2"/>
                <w:numId w:val="22"/>
              </w:numPr>
              <w:spacing w:after="0"/>
              <w:rPr>
                <w:rFonts w:ascii="Arial" w:hAnsi="Arial" w:cs="Arial"/>
                <w:szCs w:val="18"/>
                <w:lang w:val="en-US"/>
              </w:rPr>
            </w:pPr>
            <w:r w:rsidRPr="0019334F">
              <w:rPr>
                <w:rFonts w:ascii="Arial" w:hAnsi="Arial" w:cs="Arial"/>
                <w:szCs w:val="18"/>
                <w:lang w:val="en-US"/>
              </w:rPr>
              <w:t>Absolute power measured on LTE/FR1 cell or</w:t>
            </w:r>
          </w:p>
          <w:p w14:paraId="764D1EDB" w14:textId="77777777" w:rsidR="0019334F" w:rsidRPr="0019334F" w:rsidRDefault="0019334F" w:rsidP="001A0FE3">
            <w:pPr>
              <w:numPr>
                <w:ilvl w:val="2"/>
                <w:numId w:val="22"/>
              </w:numPr>
              <w:spacing w:after="0"/>
              <w:rPr>
                <w:rFonts w:ascii="Arial" w:hAnsi="Arial" w:cs="Arial"/>
                <w:szCs w:val="18"/>
                <w:lang w:val="en-US"/>
              </w:rPr>
            </w:pPr>
            <w:r w:rsidRPr="0019334F">
              <w:rPr>
                <w:rFonts w:ascii="Arial" w:hAnsi="Arial" w:cs="Arial"/>
                <w:szCs w:val="18"/>
                <w:lang w:val="en-US"/>
              </w:rPr>
              <w:t>Relative power measured between LTE and FR2 cells or between FR1 and FR2 cells</w:t>
            </w:r>
          </w:p>
          <w:p w14:paraId="07A59C57" w14:textId="77777777" w:rsidR="0019334F" w:rsidRPr="0019334F" w:rsidRDefault="0019334F" w:rsidP="001A0FE3">
            <w:pPr>
              <w:numPr>
                <w:ilvl w:val="1"/>
                <w:numId w:val="19"/>
              </w:numPr>
              <w:spacing w:after="0"/>
              <w:rPr>
                <w:rFonts w:ascii="Arial" w:hAnsi="Arial" w:cs="Arial"/>
                <w:szCs w:val="18"/>
                <w:lang w:val="en-US"/>
              </w:rPr>
            </w:pPr>
            <w:r w:rsidRPr="0019334F">
              <w:rPr>
                <w:rFonts w:ascii="Arial" w:hAnsi="Arial" w:cs="Arial"/>
                <w:szCs w:val="18"/>
                <w:lang w:val="en-US"/>
              </w:rPr>
              <w:t>Other options/criteria are not precluded.</w:t>
            </w:r>
          </w:p>
          <w:p w14:paraId="776B74EB" w14:textId="77777777" w:rsidR="0019334F" w:rsidRPr="0019334F" w:rsidRDefault="0019334F" w:rsidP="001A0FE3">
            <w:pPr>
              <w:numPr>
                <w:ilvl w:val="1"/>
                <w:numId w:val="19"/>
              </w:numPr>
              <w:spacing w:after="120"/>
              <w:rPr>
                <w:rFonts w:ascii="Arial" w:hAnsi="Arial" w:cs="Arial"/>
                <w:szCs w:val="18"/>
                <w:lang w:val="en-US"/>
              </w:rPr>
            </w:pPr>
            <w:r w:rsidRPr="0019334F">
              <w:rPr>
                <w:rFonts w:ascii="Arial" w:hAnsi="Arial" w:cs="Arial"/>
                <w:szCs w:val="18"/>
                <w:lang w:val="en-US"/>
              </w:rPr>
              <w:t>Companies are encouraged to provide the list of affected test cases.</w:t>
            </w:r>
          </w:p>
          <w:p w14:paraId="707147DD" w14:textId="77777777" w:rsidR="0019334F" w:rsidRPr="0019334F" w:rsidRDefault="0019334F" w:rsidP="001A0FE3">
            <w:pPr>
              <w:numPr>
                <w:ilvl w:val="0"/>
                <w:numId w:val="16"/>
              </w:numPr>
              <w:tabs>
                <w:tab w:val="num" w:pos="720"/>
              </w:tabs>
              <w:spacing w:after="0"/>
              <w:rPr>
                <w:rFonts w:ascii="Arial" w:hAnsi="Arial" w:cs="Arial"/>
                <w:szCs w:val="18"/>
                <w:lang w:val="en-US"/>
              </w:rPr>
            </w:pPr>
            <w:r w:rsidRPr="0019334F">
              <w:rPr>
                <w:rFonts w:ascii="Arial" w:hAnsi="Arial" w:cs="Arial"/>
                <w:szCs w:val="18"/>
                <w:lang w:val="en-US"/>
              </w:rPr>
              <w:t>Mechanism to exclude testing of the test cases (or parts of requirements of the test cases) identified in bullet #1 (with OTA testability issues) but not determined to be testable through bullet #2 criteria:</w:t>
            </w:r>
          </w:p>
          <w:p w14:paraId="44DEEA16" w14:textId="77777777" w:rsidR="0019334F" w:rsidRPr="0019334F" w:rsidRDefault="0019334F" w:rsidP="001A0FE3">
            <w:pPr>
              <w:numPr>
                <w:ilvl w:val="1"/>
                <w:numId w:val="20"/>
              </w:numPr>
              <w:spacing w:after="0"/>
              <w:rPr>
                <w:rFonts w:ascii="Arial" w:hAnsi="Arial" w:cs="Arial"/>
                <w:szCs w:val="18"/>
                <w:lang w:val="en-US"/>
              </w:rPr>
            </w:pPr>
            <w:r w:rsidRPr="0019334F">
              <w:rPr>
                <w:rFonts w:ascii="Arial" w:hAnsi="Arial" w:cs="Arial"/>
                <w:szCs w:val="18"/>
                <w:lang w:val="en-US"/>
              </w:rPr>
              <w:t xml:space="preserve">Option 1: General rule/applicability rule is defined in Annex of TS 38.133: </w:t>
            </w:r>
          </w:p>
          <w:p w14:paraId="36C73120" w14:textId="77777777" w:rsidR="0019334F" w:rsidRPr="0019334F" w:rsidRDefault="0019334F" w:rsidP="001A0FE3">
            <w:pPr>
              <w:numPr>
                <w:ilvl w:val="2"/>
                <w:numId w:val="23"/>
              </w:numPr>
              <w:spacing w:after="0"/>
              <w:rPr>
                <w:rFonts w:ascii="Arial" w:hAnsi="Arial" w:cs="Arial"/>
                <w:szCs w:val="18"/>
                <w:lang w:val="en-US"/>
              </w:rPr>
            </w:pPr>
            <w:r w:rsidRPr="0019334F">
              <w:rPr>
                <w:rFonts w:ascii="Arial" w:hAnsi="Arial" w:cs="Arial"/>
                <w:szCs w:val="18"/>
                <w:lang w:val="en-US"/>
              </w:rPr>
              <w:t>Following tests are not currently performed e.g., RRM test cases which have testability limitation:</w:t>
            </w:r>
          </w:p>
          <w:p w14:paraId="12B45804" w14:textId="77777777" w:rsidR="0019334F" w:rsidRPr="0019334F" w:rsidRDefault="0019334F" w:rsidP="001A0FE3">
            <w:pPr>
              <w:numPr>
                <w:ilvl w:val="3"/>
                <w:numId w:val="25"/>
              </w:numPr>
              <w:spacing w:after="0"/>
              <w:rPr>
                <w:rFonts w:ascii="Arial" w:hAnsi="Arial" w:cs="Arial"/>
                <w:szCs w:val="18"/>
                <w:lang w:val="en-US"/>
              </w:rPr>
            </w:pPr>
            <w:r w:rsidRPr="0019334F">
              <w:rPr>
                <w:rFonts w:ascii="Arial" w:hAnsi="Arial" w:cs="Arial"/>
                <w:szCs w:val="18"/>
                <w:lang w:val="sv-SE"/>
              </w:rPr>
              <w:t>Test cases are FFS</w:t>
            </w:r>
          </w:p>
          <w:p w14:paraId="2BA15E8E" w14:textId="77777777" w:rsidR="0019334F" w:rsidRPr="0019334F" w:rsidRDefault="0019334F" w:rsidP="001A0FE3">
            <w:pPr>
              <w:numPr>
                <w:ilvl w:val="2"/>
                <w:numId w:val="24"/>
              </w:numPr>
              <w:spacing w:after="0"/>
              <w:rPr>
                <w:rFonts w:ascii="Arial" w:hAnsi="Arial" w:cs="Arial"/>
                <w:szCs w:val="18"/>
                <w:lang w:val="en-US"/>
              </w:rPr>
            </w:pPr>
            <w:r w:rsidRPr="0019334F">
              <w:rPr>
                <w:rFonts w:ascii="Arial" w:hAnsi="Arial" w:cs="Arial"/>
                <w:szCs w:val="18"/>
                <w:lang w:val="en-US"/>
              </w:rPr>
              <w:t>Section numbers of the tests which are not currently performed will be listed in the section containing applicability rule.</w:t>
            </w:r>
          </w:p>
          <w:p w14:paraId="68B543E7" w14:textId="77777777" w:rsidR="0019334F" w:rsidRPr="0019334F" w:rsidRDefault="0019334F" w:rsidP="001A0FE3">
            <w:pPr>
              <w:numPr>
                <w:ilvl w:val="1"/>
                <w:numId w:val="21"/>
              </w:numPr>
              <w:spacing w:after="120"/>
              <w:rPr>
                <w:rFonts w:ascii="Arial" w:hAnsi="Arial" w:cs="Arial"/>
                <w:szCs w:val="18"/>
                <w:lang w:val="en-US"/>
              </w:rPr>
            </w:pPr>
            <w:r w:rsidRPr="0019334F">
              <w:rPr>
                <w:rFonts w:ascii="Arial" w:hAnsi="Arial" w:cs="Arial"/>
                <w:szCs w:val="18"/>
                <w:lang w:val="en-US"/>
              </w:rPr>
              <w:t>Other options are not precluded.</w:t>
            </w:r>
          </w:p>
          <w:p w14:paraId="506AFBC1" w14:textId="03E4D613" w:rsidR="0019334F" w:rsidRPr="0019334F" w:rsidRDefault="0019334F" w:rsidP="001A0FE3">
            <w:pPr>
              <w:numPr>
                <w:ilvl w:val="0"/>
                <w:numId w:val="16"/>
              </w:numPr>
              <w:spacing w:after="0"/>
              <w:rPr>
                <w:rFonts w:ascii="Arial" w:hAnsi="Arial" w:cs="Arial"/>
                <w:sz w:val="22"/>
                <w:lang w:val="en-US"/>
              </w:rPr>
            </w:pPr>
            <w:r w:rsidRPr="0019334F">
              <w:rPr>
                <w:rFonts w:ascii="Arial" w:hAnsi="Arial" w:cs="Arial"/>
                <w:szCs w:val="18"/>
                <w:lang w:val="en-US"/>
              </w:rPr>
              <w:t>Companies are encouraged to provide input on the above issues in RAN4#100-e.</w:t>
            </w:r>
          </w:p>
        </w:tc>
      </w:tr>
    </w:tbl>
    <w:p w14:paraId="577228D1" w14:textId="6E837752" w:rsidR="0019334F" w:rsidRDefault="006C13FB" w:rsidP="00E16AC3">
      <w:pPr>
        <w:spacing w:before="240"/>
        <w:rPr>
          <w:sz w:val="22"/>
        </w:rPr>
      </w:pPr>
      <w:r>
        <w:rPr>
          <w:sz w:val="22"/>
        </w:rPr>
        <w:t xml:space="preserve">In this contribution we identify test cases that </w:t>
      </w:r>
      <w:r w:rsidR="00380233">
        <w:rPr>
          <w:sz w:val="22"/>
        </w:rPr>
        <w:t>are in conflict with the agreements on testability</w:t>
      </w:r>
      <w:r>
        <w:rPr>
          <w:sz w:val="22"/>
        </w:rPr>
        <w:t xml:space="preserve">. For each of the identified test cases we propose how it can be handled, e.g. either by slightly modifying the test case or by allowing UE to skip the test case at least until the testability issue has been resolved. </w:t>
      </w:r>
    </w:p>
    <w:p w14:paraId="762699DA" w14:textId="331AEDB6" w:rsidR="002B1DA2" w:rsidRPr="00380233" w:rsidRDefault="00515947" w:rsidP="002B1DA2">
      <w:pPr>
        <w:pStyle w:val="Heading1"/>
        <w:ind w:left="431" w:hanging="431"/>
        <w:rPr>
          <w:szCs w:val="36"/>
          <w:lang w:val="en-CA"/>
        </w:rPr>
      </w:pPr>
      <w:r>
        <w:rPr>
          <w:szCs w:val="36"/>
          <w:lang w:val="en-CA"/>
        </w:rPr>
        <w:t>Discussion</w:t>
      </w:r>
    </w:p>
    <w:p w14:paraId="5DFF1719" w14:textId="0AF4F6BA" w:rsidR="00854CB5" w:rsidRDefault="002B1DA2" w:rsidP="002B1DA2">
      <w:pPr>
        <w:pStyle w:val="Heading2"/>
        <w:rPr>
          <w:lang w:val="en-CA"/>
        </w:rPr>
      </w:pPr>
      <w:r>
        <w:rPr>
          <w:lang w:val="en-CA"/>
        </w:rPr>
        <w:t xml:space="preserve">Rel-15 </w:t>
      </w:r>
      <w:r w:rsidR="00854CB5">
        <w:rPr>
          <w:lang w:val="en-CA"/>
        </w:rPr>
        <w:t>Test cases in A.5 (</w:t>
      </w:r>
      <w:r w:rsidR="00817B9B" w:rsidRPr="00817B9B">
        <w:rPr>
          <w:lang w:val="en-CA"/>
        </w:rPr>
        <w:t>EN-DC tests with one or more NR cells in FR2</w:t>
      </w:r>
      <w:r w:rsidR="00854CB5">
        <w:rPr>
          <w:lang w:val="en-CA"/>
        </w:rPr>
        <w:t>) need</w:t>
      </w:r>
      <w:r w:rsidR="00634B35">
        <w:rPr>
          <w:lang w:val="en-CA"/>
        </w:rPr>
        <w:t>ing</w:t>
      </w:r>
      <w:r w:rsidR="00854CB5">
        <w:rPr>
          <w:lang w:val="en-CA"/>
        </w:rPr>
        <w:t xml:space="preserve"> special attention</w:t>
      </w:r>
    </w:p>
    <w:p w14:paraId="07AE5EA5" w14:textId="0CFF6E23" w:rsidR="001560F8" w:rsidRDefault="001560F8" w:rsidP="001560F8">
      <w:pPr>
        <w:spacing w:after="0"/>
        <w:rPr>
          <w:sz w:val="22"/>
          <w:szCs w:val="22"/>
          <w:lang w:val="en-CA"/>
        </w:rPr>
      </w:pPr>
    </w:p>
    <w:p w14:paraId="3E30EBB6" w14:textId="53429D8C" w:rsidR="00E647C5" w:rsidRPr="00E647C5" w:rsidRDefault="00E647C5" w:rsidP="001560F8">
      <w:pPr>
        <w:spacing w:after="0"/>
        <w:rPr>
          <w:sz w:val="22"/>
          <w:szCs w:val="22"/>
          <w:u w:val="single"/>
          <w:lang w:val="en-CA"/>
        </w:rPr>
      </w:pPr>
      <w:r w:rsidRPr="00E647C5">
        <w:rPr>
          <w:sz w:val="22"/>
          <w:szCs w:val="22"/>
          <w:u w:val="single"/>
          <w:lang w:val="en-CA"/>
        </w:rPr>
        <w:lastRenderedPageBreak/>
        <w:t>Interruption test cases, EN-DC with at least one NR cell in FR2.</w:t>
      </w:r>
    </w:p>
    <w:p w14:paraId="36237935" w14:textId="09EDC617" w:rsidR="00E647C5" w:rsidRDefault="00E647C5" w:rsidP="001560F8">
      <w:pPr>
        <w:spacing w:after="0"/>
        <w:rPr>
          <w:sz w:val="22"/>
          <w:szCs w:val="22"/>
          <w:lang w:val="en-CA"/>
        </w:rPr>
      </w:pPr>
    </w:p>
    <w:p w14:paraId="773373E4" w14:textId="103D4E0B" w:rsidR="00E647C5" w:rsidRPr="003F0ADE" w:rsidRDefault="00E647C5" w:rsidP="00E647C5">
      <w:pPr>
        <w:spacing w:after="0"/>
        <w:rPr>
          <w:lang w:val="en-CA"/>
        </w:rPr>
      </w:pPr>
      <w:r w:rsidRPr="003F0ADE">
        <w:rPr>
          <w:lang w:val="en-CA"/>
        </w:rPr>
        <w:t xml:space="preserve">Need to modify the following test cases since </w:t>
      </w:r>
      <w:r w:rsidR="002D2B73">
        <w:rPr>
          <w:lang w:val="en-CA"/>
        </w:rPr>
        <w:t xml:space="preserve">due to unclear OTA performance for NR FR1 or LTE link, </w:t>
      </w:r>
      <w:r w:rsidRPr="003F0ADE">
        <w:rPr>
          <w:lang w:val="en-CA"/>
        </w:rPr>
        <w:t>one cannot base conclusions on ACK/NACK counting on EUTRA or NR FR1 carrier.</w:t>
      </w:r>
      <w:r w:rsidR="003F0ADE">
        <w:rPr>
          <w:lang w:val="en-CA"/>
        </w:rPr>
        <w:t xml:space="preserve"> Hence the interruption requirement can only be tested on NR FR2 CCs.</w:t>
      </w:r>
    </w:p>
    <w:p w14:paraId="01D5200C" w14:textId="33DFE49E" w:rsidR="00E647C5" w:rsidRPr="00CC0FB6" w:rsidRDefault="003F0ADE" w:rsidP="001A0FE3">
      <w:pPr>
        <w:pStyle w:val="ListParagraph"/>
        <w:numPr>
          <w:ilvl w:val="0"/>
          <w:numId w:val="11"/>
        </w:numPr>
        <w:spacing w:before="240" w:after="0"/>
        <w:rPr>
          <w:lang w:val="en-CA"/>
        </w:rPr>
      </w:pPr>
      <w:r w:rsidRPr="00CC0FB6">
        <w:rPr>
          <w:lang w:val="en-CA"/>
        </w:rPr>
        <w:t>A.5.5.2.3</w:t>
      </w:r>
      <w:r w:rsidR="00E647C5" w:rsidRPr="00CC0FB6">
        <w:rPr>
          <w:lang w:val="en-CA"/>
        </w:rPr>
        <w:tab/>
        <w:t>E-UTRAN – NR FR2 interruptions during measurements on deactivated NR SCC in synchronous EN-DC</w:t>
      </w:r>
    </w:p>
    <w:p w14:paraId="114A0A6D" w14:textId="42EF21BB" w:rsidR="00E647C5" w:rsidRPr="00CC0FB6" w:rsidRDefault="00E647C5" w:rsidP="001A0FE3">
      <w:pPr>
        <w:pStyle w:val="ListParagraph"/>
        <w:numPr>
          <w:ilvl w:val="0"/>
          <w:numId w:val="11"/>
        </w:numPr>
        <w:spacing w:after="0"/>
        <w:rPr>
          <w:lang w:val="en-CA"/>
        </w:rPr>
      </w:pPr>
      <w:r w:rsidRPr="00CC0FB6">
        <w:rPr>
          <w:lang w:val="en-CA"/>
        </w:rPr>
        <w:t>A.5.5.2.4</w:t>
      </w:r>
      <w:r w:rsidRPr="00CC0FB6">
        <w:rPr>
          <w:lang w:val="en-CA"/>
        </w:rPr>
        <w:tab/>
        <w:t>E-UTRAN – NR FR2 interruptions during measurements on deactivated NR SCC in asynchronous EN-DC</w:t>
      </w:r>
    </w:p>
    <w:p w14:paraId="6AEDEB9B" w14:textId="025AD77E" w:rsidR="00E647C5" w:rsidRPr="00CC0FB6" w:rsidRDefault="00E647C5" w:rsidP="001A0FE3">
      <w:pPr>
        <w:pStyle w:val="ListParagraph"/>
        <w:numPr>
          <w:ilvl w:val="0"/>
          <w:numId w:val="11"/>
        </w:numPr>
        <w:spacing w:after="0"/>
        <w:rPr>
          <w:lang w:val="en-CA"/>
        </w:rPr>
      </w:pPr>
      <w:r w:rsidRPr="00CC0FB6">
        <w:rPr>
          <w:lang w:val="en-CA"/>
        </w:rPr>
        <w:t>A.5.5.2.5</w:t>
      </w:r>
      <w:r w:rsidRPr="00CC0FB6">
        <w:rPr>
          <w:lang w:val="en-CA"/>
        </w:rPr>
        <w:tab/>
        <w:t>E-UTRAN – NR FR2 interruptions during measurements on deactivated E-UTRAN SCC in synchronous EN-DC</w:t>
      </w:r>
    </w:p>
    <w:p w14:paraId="7209A143" w14:textId="61691C1C" w:rsidR="00E647C5" w:rsidRPr="00CC0FB6" w:rsidRDefault="00E647C5" w:rsidP="001A0FE3">
      <w:pPr>
        <w:pStyle w:val="ListParagraph"/>
        <w:numPr>
          <w:ilvl w:val="0"/>
          <w:numId w:val="11"/>
        </w:numPr>
        <w:spacing w:after="0"/>
        <w:rPr>
          <w:lang w:val="en-CA"/>
        </w:rPr>
      </w:pPr>
      <w:r w:rsidRPr="00CC0FB6">
        <w:rPr>
          <w:lang w:val="en-CA"/>
        </w:rPr>
        <w:t>A.5.5.2.6</w:t>
      </w:r>
      <w:r w:rsidRPr="00CC0FB6">
        <w:rPr>
          <w:lang w:val="en-CA"/>
        </w:rPr>
        <w:tab/>
        <w:t>E-UTRAN – NR FR2 interruptions during measurements on deactivated E-UTRAN SCC in asynchronous EN-DC</w:t>
      </w:r>
    </w:p>
    <w:p w14:paraId="6A5F6AFB" w14:textId="1F444A82" w:rsidR="001560F8" w:rsidRPr="006D71B1" w:rsidRDefault="001560F8" w:rsidP="001560F8">
      <w:pPr>
        <w:spacing w:after="0"/>
        <w:rPr>
          <w:color w:val="365F91" w:themeColor="accent1" w:themeShade="BF"/>
          <w:sz w:val="22"/>
          <w:szCs w:val="22"/>
          <w:lang w:val="en-CA"/>
        </w:rPr>
      </w:pPr>
    </w:p>
    <w:p w14:paraId="19EB1D98" w14:textId="3D196347" w:rsidR="003F0ADE" w:rsidRPr="006D71B1" w:rsidRDefault="003F0ADE" w:rsidP="003F0ADE">
      <w:pPr>
        <w:spacing w:after="0"/>
        <w:ind w:left="1134" w:hanging="1134"/>
        <w:rPr>
          <w:color w:val="365F91" w:themeColor="accent1" w:themeShade="BF"/>
          <w:lang w:val="en-CA"/>
        </w:rPr>
      </w:pPr>
      <w:r w:rsidRPr="006D71B1">
        <w:rPr>
          <w:b/>
          <w:bCs/>
          <w:color w:val="1F497D" w:themeColor="text2"/>
        </w:rPr>
        <w:t xml:space="preserve">Proposal </w:t>
      </w:r>
      <w:r w:rsidR="00C704C2">
        <w:rPr>
          <w:b/>
          <w:bCs/>
          <w:color w:val="1F497D" w:themeColor="text2"/>
        </w:rPr>
        <w:t>1</w:t>
      </w:r>
      <w:r w:rsidRPr="006D71B1">
        <w:rPr>
          <w:b/>
          <w:bCs/>
          <w:color w:val="1F497D" w:themeColor="text2"/>
        </w:rPr>
        <w:t>:</w:t>
      </w:r>
      <w:r w:rsidRPr="006D71B1">
        <w:rPr>
          <w:color w:val="365F91" w:themeColor="accent1" w:themeShade="BF"/>
          <w:lang w:val="en-CA"/>
        </w:rPr>
        <w:t xml:space="preserve"> </w:t>
      </w:r>
      <w:r w:rsidRPr="006D71B1">
        <w:rPr>
          <w:color w:val="365F91" w:themeColor="accent1" w:themeShade="BF"/>
          <w:lang w:val="en-CA"/>
        </w:rPr>
        <w:tab/>
      </w:r>
      <w:r w:rsidRPr="006D71B1">
        <w:rPr>
          <w:color w:val="1F497D" w:themeColor="text2"/>
        </w:rPr>
        <w:t>Interruption test cases A.5.5.2.3, A.5.5.2.4, A.5.5.2.5 and A.5.5.2.6 are modified to only test ACK/NACK loss on NR FR2 CCs.</w:t>
      </w:r>
    </w:p>
    <w:p w14:paraId="4C54B365" w14:textId="77777777" w:rsidR="003F0ADE" w:rsidRPr="001560F8" w:rsidRDefault="003F0ADE" w:rsidP="001560F8">
      <w:pPr>
        <w:spacing w:after="0"/>
        <w:rPr>
          <w:sz w:val="22"/>
          <w:szCs w:val="22"/>
          <w:lang w:val="en-CA"/>
        </w:rPr>
      </w:pPr>
    </w:p>
    <w:p w14:paraId="42777FF2" w14:textId="5985A6D3" w:rsidR="00140EAC" w:rsidRPr="00223A24" w:rsidRDefault="00E647C5" w:rsidP="005B5762">
      <w:pPr>
        <w:spacing w:after="0"/>
        <w:ind w:left="1276" w:hanging="1276"/>
        <w:rPr>
          <w:u w:val="single"/>
          <w:lang w:val="en-CA"/>
        </w:rPr>
      </w:pPr>
      <w:r w:rsidRPr="00223A24">
        <w:rPr>
          <w:u w:val="single"/>
          <w:lang w:val="en-CA"/>
        </w:rPr>
        <w:t>SCell activation and deactivation delay</w:t>
      </w:r>
    </w:p>
    <w:p w14:paraId="775DCE35" w14:textId="77777777" w:rsidR="00E647C5" w:rsidRDefault="00E647C5" w:rsidP="005B5762">
      <w:pPr>
        <w:spacing w:after="0"/>
        <w:ind w:left="1276" w:hanging="1276"/>
        <w:rPr>
          <w:b/>
          <w:bCs/>
          <w:color w:val="1F497D" w:themeColor="text2"/>
          <w:sz w:val="22"/>
          <w:szCs w:val="22"/>
          <w:lang w:val="en-CA"/>
        </w:rPr>
      </w:pPr>
    </w:p>
    <w:p w14:paraId="4E949C33" w14:textId="44C89368" w:rsidR="00E647C5" w:rsidRPr="00223A24" w:rsidRDefault="00E647C5" w:rsidP="00CD3B4C">
      <w:pPr>
        <w:spacing w:after="0"/>
      </w:pPr>
      <w:r w:rsidRPr="00223A24">
        <w:t xml:space="preserve">Need to modify test case to </w:t>
      </w:r>
      <w:r w:rsidR="00223A24" w:rsidRPr="00223A24">
        <w:t xml:space="preserve">allow SCell configuration through SRB3 i.e. through SN (thereby for completeness assuming that MeNB has configured SgNB with </w:t>
      </w:r>
      <w:r w:rsidR="00223A24" w:rsidRPr="00223A24">
        <w:rPr>
          <w:i/>
          <w:iCs/>
        </w:rPr>
        <w:t>ConfigRestrictInfoSCG</w:t>
      </w:r>
      <w:r w:rsidR="00223A24" w:rsidRPr="00223A24">
        <w:t xml:space="preserve"> with </w:t>
      </w:r>
      <w:r w:rsidR="00223A24" w:rsidRPr="00223A24">
        <w:rPr>
          <w:i/>
          <w:iCs/>
        </w:rPr>
        <w:t>allowedBC-ListMRDC</w:t>
      </w:r>
      <w:r w:rsidR="00223A24" w:rsidRPr="00223A24">
        <w:t xml:space="preserve"> containing SCC, but this does not have to be modelled in the test case). Alternatively, one may update the test case to condition it on that the TE has received an ACK from the UE on the RRC message provided via MN i.e. EUTRA PCell.</w:t>
      </w:r>
    </w:p>
    <w:p w14:paraId="0341CD64" w14:textId="3E7449D1" w:rsidR="003F0ADE" w:rsidRPr="00CC0FB6" w:rsidRDefault="00E647C5" w:rsidP="001A0FE3">
      <w:pPr>
        <w:pStyle w:val="ListParagraph"/>
        <w:numPr>
          <w:ilvl w:val="0"/>
          <w:numId w:val="12"/>
        </w:numPr>
        <w:spacing w:before="240" w:after="0"/>
        <w:rPr>
          <w:b/>
          <w:bCs/>
          <w:color w:val="1F497D" w:themeColor="text2"/>
          <w:sz w:val="22"/>
          <w:szCs w:val="22"/>
          <w:lang w:val="en-CA"/>
        </w:rPr>
      </w:pPr>
      <w:r w:rsidRPr="00CC0FB6">
        <w:t>A.5.5.3.</w:t>
      </w:r>
      <w:r w:rsidRPr="00CC0FB6">
        <w:rPr>
          <w:lang w:eastAsia="zh-CN"/>
        </w:rPr>
        <w:t>1</w:t>
      </w:r>
      <w:r w:rsidRPr="00CC0FB6">
        <w:tab/>
        <w:t>SCell Activation and deactivation of SCell in FR2 intra-band</w:t>
      </w:r>
    </w:p>
    <w:p w14:paraId="32EC1716" w14:textId="38E82035" w:rsidR="00E647C5" w:rsidRDefault="00E647C5" w:rsidP="005B5762">
      <w:pPr>
        <w:spacing w:after="0"/>
        <w:ind w:left="1276" w:hanging="1276"/>
        <w:rPr>
          <w:b/>
          <w:bCs/>
          <w:color w:val="1F497D" w:themeColor="text2"/>
          <w:sz w:val="22"/>
          <w:szCs w:val="22"/>
          <w:lang w:val="en-CA"/>
        </w:rPr>
      </w:pPr>
    </w:p>
    <w:p w14:paraId="3C28524B" w14:textId="11E86C2C" w:rsidR="00CD3B4C" w:rsidRPr="00CD3B4C" w:rsidRDefault="00CD3B4C" w:rsidP="00CD3B4C">
      <w:pPr>
        <w:spacing w:after="0"/>
        <w:rPr>
          <w:lang w:val="en-CA"/>
        </w:rPr>
      </w:pPr>
      <w:r w:rsidRPr="00CD3B4C">
        <w:rPr>
          <w:lang w:val="en-CA"/>
        </w:rPr>
        <w:t xml:space="preserve">The </w:t>
      </w:r>
      <w:r w:rsidR="00FE067B">
        <w:rPr>
          <w:lang w:val="en-CA"/>
        </w:rPr>
        <w:t xml:space="preserve">outcomes of </w:t>
      </w:r>
      <w:r w:rsidRPr="00CD3B4C">
        <w:rPr>
          <w:lang w:val="en-CA"/>
        </w:rPr>
        <w:t xml:space="preserve">following test case </w:t>
      </w:r>
      <w:r w:rsidR="00FE067B">
        <w:rPr>
          <w:lang w:val="en-CA"/>
        </w:rPr>
        <w:t>are in</w:t>
      </w:r>
      <w:r w:rsidRPr="00CD3B4C">
        <w:rPr>
          <w:lang w:val="en-CA"/>
        </w:rPr>
        <w:t xml:space="preserve">conclusive due to that target SCell </w:t>
      </w:r>
      <w:r w:rsidR="00110B0E">
        <w:rPr>
          <w:lang w:val="en-CA"/>
        </w:rPr>
        <w:t xml:space="preserve">or PSCell </w:t>
      </w:r>
      <w:r w:rsidRPr="00CD3B4C">
        <w:rPr>
          <w:lang w:val="en-CA"/>
        </w:rPr>
        <w:t>is in FR1</w:t>
      </w:r>
      <w:r w:rsidR="00110B0E">
        <w:rPr>
          <w:lang w:val="en-CA"/>
        </w:rPr>
        <w:t xml:space="preserve">, </w:t>
      </w:r>
      <w:r w:rsidRPr="00CD3B4C">
        <w:rPr>
          <w:lang w:val="en-CA"/>
        </w:rPr>
        <w:t>and FR1 performance cannot be guaranteed by test equipment</w:t>
      </w:r>
      <w:r w:rsidR="00FE067B">
        <w:rPr>
          <w:lang w:val="en-CA"/>
        </w:rPr>
        <w:t>. We therefor</w:t>
      </w:r>
      <w:r w:rsidR="00797A5B">
        <w:rPr>
          <w:lang w:val="en-CA"/>
        </w:rPr>
        <w:t>e</w:t>
      </w:r>
      <w:r w:rsidR="00FE067B">
        <w:rPr>
          <w:lang w:val="en-CA"/>
        </w:rPr>
        <w:t xml:space="preserve"> </w:t>
      </w:r>
      <w:r w:rsidR="00797A5B">
        <w:rPr>
          <w:lang w:val="en-CA"/>
        </w:rPr>
        <w:t>propose that until the testability issue has been addressed, a UE does not have to pass the concerned test cases.</w:t>
      </w:r>
    </w:p>
    <w:p w14:paraId="0BF28798" w14:textId="76E288CF" w:rsidR="00CD3B4C" w:rsidRPr="00CC0FB6" w:rsidRDefault="00CD3B4C" w:rsidP="001A0FE3">
      <w:pPr>
        <w:pStyle w:val="ListParagraph"/>
        <w:numPr>
          <w:ilvl w:val="0"/>
          <w:numId w:val="12"/>
        </w:numPr>
        <w:spacing w:before="240" w:after="0"/>
        <w:rPr>
          <w:b/>
          <w:bCs/>
          <w:color w:val="C00000"/>
          <w:sz w:val="22"/>
          <w:szCs w:val="22"/>
        </w:rPr>
      </w:pPr>
      <w:r w:rsidRPr="00CC0FB6">
        <w:rPr>
          <w:color w:val="C00000"/>
        </w:rPr>
        <w:t>A.5.5.3.2</w:t>
      </w:r>
      <w:r w:rsidRPr="00CC0FB6">
        <w:rPr>
          <w:color w:val="C00000"/>
        </w:rPr>
        <w:tab/>
        <w:t>SCell Activation and deactivation of known SCell in FR1 for 160ms SCell measurement cycle</w:t>
      </w:r>
    </w:p>
    <w:p w14:paraId="438E6355" w14:textId="38C3E355" w:rsidR="00E647C5" w:rsidRPr="00CC0FB6" w:rsidRDefault="00110B0E" w:rsidP="001A0FE3">
      <w:pPr>
        <w:pStyle w:val="ListParagraph"/>
        <w:numPr>
          <w:ilvl w:val="0"/>
          <w:numId w:val="12"/>
        </w:numPr>
        <w:spacing w:after="0"/>
        <w:rPr>
          <w:color w:val="C00000"/>
        </w:rPr>
      </w:pPr>
      <w:r w:rsidRPr="00CC0FB6">
        <w:rPr>
          <w:color w:val="C00000"/>
        </w:rPr>
        <w:t>A.5.5.3.5</w:t>
      </w:r>
      <w:r w:rsidRPr="00CC0FB6">
        <w:rPr>
          <w:color w:val="C00000"/>
        </w:rPr>
        <w:tab/>
        <w:t>SCell Activation and deactivation of SCell in FR2</w:t>
      </w:r>
    </w:p>
    <w:p w14:paraId="4DF4F48B" w14:textId="0A8CFAA8" w:rsidR="00110B0E" w:rsidRDefault="00110B0E" w:rsidP="005B5762">
      <w:pPr>
        <w:spacing w:after="0"/>
        <w:ind w:left="1276" w:hanging="1276"/>
        <w:rPr>
          <w:b/>
          <w:bCs/>
          <w:color w:val="1F497D" w:themeColor="text2"/>
          <w:sz w:val="22"/>
          <w:szCs w:val="22"/>
        </w:rPr>
      </w:pPr>
    </w:p>
    <w:p w14:paraId="5D78C670" w14:textId="0235E88E" w:rsidR="003F0ADE" w:rsidRDefault="003F0ADE" w:rsidP="003F0ADE">
      <w:pPr>
        <w:spacing w:after="0"/>
        <w:ind w:left="1134" w:hanging="1134"/>
        <w:rPr>
          <w:color w:val="1F497D" w:themeColor="text2"/>
        </w:rPr>
      </w:pPr>
      <w:r w:rsidRPr="003F0ADE">
        <w:rPr>
          <w:b/>
          <w:bCs/>
          <w:color w:val="1F497D" w:themeColor="text2"/>
        </w:rPr>
        <w:t xml:space="preserve">Proposal </w:t>
      </w:r>
      <w:r w:rsidR="00C704C2">
        <w:rPr>
          <w:b/>
          <w:bCs/>
          <w:color w:val="1F497D" w:themeColor="text2"/>
        </w:rPr>
        <w:t>2</w:t>
      </w:r>
      <w:r w:rsidRPr="003F0ADE">
        <w:rPr>
          <w:b/>
          <w:bCs/>
          <w:color w:val="1F497D" w:themeColor="text2"/>
        </w:rPr>
        <w:t xml:space="preserve">: </w:t>
      </w:r>
      <w:r>
        <w:rPr>
          <w:b/>
          <w:bCs/>
          <w:color w:val="1F497D" w:themeColor="text2"/>
        </w:rPr>
        <w:tab/>
      </w:r>
      <w:r w:rsidRPr="003F0ADE">
        <w:rPr>
          <w:color w:val="1F497D" w:themeColor="text2"/>
        </w:rPr>
        <w:t>SCell activation and deactivation test case A.5.5.3.1</w:t>
      </w:r>
      <w:r>
        <w:rPr>
          <w:color w:val="1F497D" w:themeColor="text2"/>
        </w:rPr>
        <w:t xml:space="preserve"> is updated to specify that UE receives RRC reconfiguration </w:t>
      </w:r>
      <w:r w:rsidR="00832C6A">
        <w:rPr>
          <w:color w:val="1F497D" w:themeColor="text2"/>
        </w:rPr>
        <w:t xml:space="preserve">message </w:t>
      </w:r>
      <w:r>
        <w:rPr>
          <w:color w:val="1F497D" w:themeColor="text2"/>
        </w:rPr>
        <w:t xml:space="preserve">for adding or releasing SCell </w:t>
      </w:r>
      <w:r w:rsidR="00832C6A">
        <w:rPr>
          <w:color w:val="1F497D" w:themeColor="text2"/>
        </w:rPr>
        <w:t xml:space="preserve">from SN </w:t>
      </w:r>
      <w:r>
        <w:rPr>
          <w:color w:val="1F497D" w:themeColor="text2"/>
        </w:rPr>
        <w:t>via signalling on SRB3.</w:t>
      </w:r>
    </w:p>
    <w:p w14:paraId="4AF896DF" w14:textId="0B7C562D" w:rsidR="003F0ADE" w:rsidRDefault="003F0ADE" w:rsidP="003F0ADE">
      <w:pPr>
        <w:spacing w:after="0"/>
        <w:ind w:left="1134" w:hanging="1134"/>
        <w:rPr>
          <w:color w:val="1F497D" w:themeColor="text2"/>
        </w:rPr>
      </w:pPr>
    </w:p>
    <w:p w14:paraId="333433C8" w14:textId="2224EFE9" w:rsidR="003F0ADE" w:rsidRDefault="003F0ADE" w:rsidP="003F0ADE">
      <w:pPr>
        <w:spacing w:after="0"/>
        <w:ind w:left="1134" w:hanging="1134"/>
        <w:rPr>
          <w:color w:val="1F497D" w:themeColor="text2"/>
        </w:rPr>
      </w:pPr>
      <w:r w:rsidRPr="003F0ADE">
        <w:rPr>
          <w:b/>
          <w:bCs/>
          <w:color w:val="1F497D" w:themeColor="text2"/>
        </w:rPr>
        <w:t xml:space="preserve">Proposal </w:t>
      </w:r>
      <w:r w:rsidR="00C704C2">
        <w:rPr>
          <w:b/>
          <w:bCs/>
          <w:color w:val="1F497D" w:themeColor="text2"/>
        </w:rPr>
        <w:t>3</w:t>
      </w:r>
      <w:r w:rsidRPr="003F0ADE">
        <w:rPr>
          <w:b/>
          <w:bCs/>
          <w:color w:val="1F497D" w:themeColor="text2"/>
        </w:rPr>
        <w:t xml:space="preserve">: </w:t>
      </w:r>
      <w:r>
        <w:rPr>
          <w:b/>
          <w:bCs/>
          <w:color w:val="1F497D" w:themeColor="text2"/>
        </w:rPr>
        <w:tab/>
      </w:r>
      <w:r w:rsidRPr="003F0ADE">
        <w:rPr>
          <w:color w:val="1F497D" w:themeColor="text2"/>
        </w:rPr>
        <w:t>SCell activation and deactivation test case</w:t>
      </w:r>
      <w:r>
        <w:rPr>
          <w:color w:val="1F497D" w:themeColor="text2"/>
        </w:rPr>
        <w:t>s</w:t>
      </w:r>
      <w:r w:rsidRPr="003F0ADE">
        <w:rPr>
          <w:color w:val="1F497D" w:themeColor="text2"/>
        </w:rPr>
        <w:t xml:space="preserve"> </w:t>
      </w:r>
      <w:r w:rsidRPr="00FC2AA5">
        <w:rPr>
          <w:color w:val="C00000"/>
        </w:rPr>
        <w:t xml:space="preserve">A.5.5.3.2 and A.5.5.3.5 </w:t>
      </w:r>
      <w:r>
        <w:rPr>
          <w:color w:val="1F497D" w:themeColor="text2"/>
        </w:rPr>
        <w:t>are updated to state that in the current version of the specification a UE does not have to pass th</w:t>
      </w:r>
      <w:r w:rsidR="00832C6A">
        <w:rPr>
          <w:color w:val="1F497D" w:themeColor="text2"/>
        </w:rPr>
        <w:t>e</w:t>
      </w:r>
      <w:r>
        <w:rPr>
          <w:color w:val="1F497D" w:themeColor="text2"/>
        </w:rPr>
        <w:t xml:space="preserve"> test.</w:t>
      </w:r>
    </w:p>
    <w:p w14:paraId="3C02BAC3" w14:textId="77777777" w:rsidR="003F0ADE" w:rsidRDefault="003F0ADE" w:rsidP="00B34319">
      <w:pPr>
        <w:spacing w:after="0"/>
        <w:rPr>
          <w:color w:val="1F497D" w:themeColor="text2"/>
        </w:rPr>
      </w:pPr>
    </w:p>
    <w:p w14:paraId="6A046BED" w14:textId="77777777" w:rsidR="003F0ADE" w:rsidRPr="003F0ADE" w:rsidRDefault="003F0ADE" w:rsidP="005B5762">
      <w:pPr>
        <w:spacing w:after="0"/>
        <w:ind w:left="1276" w:hanging="1276"/>
        <w:rPr>
          <w:color w:val="1F497D" w:themeColor="text2"/>
        </w:rPr>
      </w:pPr>
    </w:p>
    <w:p w14:paraId="3DBD25C4" w14:textId="41ECCC86" w:rsidR="002E0B18" w:rsidRPr="00837C25" w:rsidRDefault="00DF281C" w:rsidP="00797A5B">
      <w:pPr>
        <w:ind w:left="1276" w:hanging="1276"/>
        <w:rPr>
          <w:u w:val="single"/>
          <w:lang w:val="en-CA"/>
        </w:rPr>
      </w:pPr>
      <w:r w:rsidRPr="00837C25">
        <w:rPr>
          <w:u w:val="single"/>
          <w:lang w:val="en-CA"/>
        </w:rPr>
        <w:t>Active BWP switch</w:t>
      </w:r>
    </w:p>
    <w:p w14:paraId="1DEF5999" w14:textId="07D8674E" w:rsidR="00837C25" w:rsidRPr="00B34319" w:rsidRDefault="00837C25" w:rsidP="00837C25">
      <w:pPr>
        <w:spacing w:after="0"/>
        <w:rPr>
          <w:lang w:val="en-CA"/>
        </w:rPr>
      </w:pPr>
      <w:r w:rsidRPr="00B34319">
        <w:rPr>
          <w:lang w:val="en-CA"/>
        </w:rPr>
        <w:t>Need to modify the following test cases since oen cannot base conclusion on ACK/NACK counting on EUTRA or NR FR1 carrier.</w:t>
      </w:r>
    </w:p>
    <w:p w14:paraId="4F2B22A5" w14:textId="4AA9AEA4" w:rsidR="002E0B18" w:rsidRPr="00CC0FB6" w:rsidRDefault="00837C25" w:rsidP="001A0FE3">
      <w:pPr>
        <w:pStyle w:val="ListParagraph"/>
        <w:numPr>
          <w:ilvl w:val="0"/>
          <w:numId w:val="13"/>
        </w:numPr>
        <w:spacing w:before="240" w:after="0"/>
        <w:rPr>
          <w:lang w:val="en-CA"/>
        </w:rPr>
      </w:pPr>
      <w:r w:rsidRPr="00CC0FB6">
        <w:rPr>
          <w:lang w:val="en-CA"/>
        </w:rPr>
        <w:t>A.5.5.6.1.1</w:t>
      </w:r>
      <w:r w:rsidRPr="00CC0FB6">
        <w:rPr>
          <w:lang w:val="en-CA"/>
        </w:rPr>
        <w:tab/>
        <w:t>E-UTRAN – NR PSCell FR2 DL active BWP switch with non-DRX in synchronous EN-DC</w:t>
      </w:r>
    </w:p>
    <w:p w14:paraId="6A9DA5D0" w14:textId="3D223B3C" w:rsidR="00837C25" w:rsidRPr="00CC0FB6" w:rsidRDefault="00837C25" w:rsidP="001A0FE3">
      <w:pPr>
        <w:pStyle w:val="ListParagraph"/>
        <w:numPr>
          <w:ilvl w:val="0"/>
          <w:numId w:val="13"/>
        </w:numPr>
        <w:spacing w:after="0"/>
        <w:rPr>
          <w:lang w:val="en-CA"/>
        </w:rPr>
      </w:pPr>
      <w:r w:rsidRPr="00CC0FB6">
        <w:rPr>
          <w:lang w:val="en-CA"/>
        </w:rPr>
        <w:t>A.5.5.6.1.2</w:t>
      </w:r>
      <w:r w:rsidRPr="00CC0FB6">
        <w:rPr>
          <w:lang w:val="en-CA"/>
        </w:rPr>
        <w:tab/>
        <w:t>E-UTRAN – NR PSCell FR2 DL active BWP switch with FR2 SCell in non-DRX in synchronous EN-DC</w:t>
      </w:r>
    </w:p>
    <w:p w14:paraId="65473806" w14:textId="53872955" w:rsidR="00327682" w:rsidRDefault="00327682" w:rsidP="00327682">
      <w:pPr>
        <w:spacing w:after="0"/>
        <w:rPr>
          <w:highlight w:val="yellow"/>
          <w:lang w:val="en-CA"/>
        </w:rPr>
      </w:pPr>
    </w:p>
    <w:p w14:paraId="74663C82" w14:textId="46561B0E" w:rsidR="00327682" w:rsidRPr="00854CB5" w:rsidRDefault="00327682" w:rsidP="00327682">
      <w:pPr>
        <w:spacing w:after="0"/>
        <w:rPr>
          <w:lang w:val="en-CA"/>
        </w:rPr>
      </w:pPr>
      <w:r w:rsidRPr="00854CB5">
        <w:rPr>
          <w:lang w:val="en-CA"/>
        </w:rPr>
        <w:t>Need to modify to send RRC reconfiguration via SRB3 (SN to UE). Alternatively, condition test case on that ACK is received for RRC reconfiguration via SRB1 in PCell. Otherwise need to be skipped since conclusive testing cannot be carried out when reconfiguration is provided via LTE PCell.</w:t>
      </w:r>
    </w:p>
    <w:p w14:paraId="67DA5A04" w14:textId="43F4A368" w:rsidR="00327682" w:rsidRPr="00CC0FB6" w:rsidRDefault="00327682" w:rsidP="001A0FE3">
      <w:pPr>
        <w:pStyle w:val="ListParagraph"/>
        <w:numPr>
          <w:ilvl w:val="0"/>
          <w:numId w:val="13"/>
        </w:numPr>
        <w:spacing w:before="240" w:after="0"/>
      </w:pPr>
      <w:r w:rsidRPr="00CC0FB6">
        <w:t>A.5.5.6.2.1</w:t>
      </w:r>
      <w:r w:rsidRPr="00CC0FB6">
        <w:tab/>
        <w:t>E-UTRAN – NR PSCell FR2 DL active BWP switch with non-DRX in synchronous EN-DC</w:t>
      </w:r>
    </w:p>
    <w:p w14:paraId="1B2DB130" w14:textId="77777777" w:rsidR="00327682" w:rsidRPr="00327682" w:rsidRDefault="00327682" w:rsidP="00327682">
      <w:pPr>
        <w:spacing w:after="0"/>
        <w:rPr>
          <w:highlight w:val="yellow"/>
        </w:rPr>
      </w:pPr>
    </w:p>
    <w:p w14:paraId="6C3BB093" w14:textId="21204DE3" w:rsidR="002E0B18" w:rsidRDefault="002E0B18" w:rsidP="005B5762">
      <w:pPr>
        <w:spacing w:after="0"/>
        <w:ind w:left="1276" w:hanging="1276"/>
        <w:rPr>
          <w:b/>
          <w:bCs/>
          <w:color w:val="1F497D" w:themeColor="text2"/>
          <w:sz w:val="22"/>
          <w:szCs w:val="22"/>
          <w:lang w:val="en-CA"/>
        </w:rPr>
      </w:pPr>
    </w:p>
    <w:p w14:paraId="379DD1AE" w14:textId="75B110FA" w:rsidR="00B34319" w:rsidRDefault="00B34319" w:rsidP="00B34319">
      <w:pPr>
        <w:spacing w:after="0"/>
        <w:ind w:left="1134" w:hanging="1134"/>
        <w:rPr>
          <w:color w:val="1F497D" w:themeColor="text2"/>
        </w:rPr>
      </w:pPr>
      <w:r w:rsidRPr="003F0ADE">
        <w:rPr>
          <w:b/>
          <w:bCs/>
          <w:color w:val="1F497D" w:themeColor="text2"/>
        </w:rPr>
        <w:t xml:space="preserve">Proposal </w:t>
      </w:r>
      <w:r w:rsidR="00C704C2">
        <w:rPr>
          <w:b/>
          <w:bCs/>
          <w:color w:val="1F497D" w:themeColor="text2"/>
        </w:rPr>
        <w:t>4</w:t>
      </w:r>
      <w:r w:rsidRPr="003F0ADE">
        <w:rPr>
          <w:b/>
          <w:bCs/>
          <w:color w:val="1F497D" w:themeColor="text2"/>
        </w:rPr>
        <w:t xml:space="preserve">: </w:t>
      </w:r>
      <w:r>
        <w:rPr>
          <w:b/>
          <w:bCs/>
          <w:color w:val="1F497D" w:themeColor="text2"/>
        </w:rPr>
        <w:tab/>
      </w:r>
      <w:r>
        <w:rPr>
          <w:color w:val="1F497D" w:themeColor="text2"/>
        </w:rPr>
        <w:t xml:space="preserve">Active BWP switch test cases </w:t>
      </w:r>
      <w:r w:rsidRPr="00B34319">
        <w:rPr>
          <w:color w:val="1F497D" w:themeColor="text2"/>
        </w:rPr>
        <w:t>A.5.5.6.1.1</w:t>
      </w:r>
      <w:r>
        <w:rPr>
          <w:color w:val="1F497D" w:themeColor="text2"/>
        </w:rPr>
        <w:t xml:space="preserve"> and </w:t>
      </w:r>
      <w:r w:rsidRPr="00B34319">
        <w:rPr>
          <w:color w:val="1F497D" w:themeColor="text2"/>
        </w:rPr>
        <w:t>A.5.5.6.1.2</w:t>
      </w:r>
      <w:r>
        <w:rPr>
          <w:color w:val="1F497D" w:themeColor="text2"/>
        </w:rPr>
        <w:t xml:space="preserve"> are</w:t>
      </w:r>
      <w:r w:rsidRPr="003F0ADE">
        <w:rPr>
          <w:color w:val="365F91" w:themeColor="accent1" w:themeShade="BF"/>
          <w:lang w:val="en-CA"/>
        </w:rPr>
        <w:t xml:space="preserve"> modified to only test ACK/NACK loss on NR FR2 CC</w:t>
      </w:r>
      <w:r w:rsidR="00854CB5">
        <w:rPr>
          <w:color w:val="365F91" w:themeColor="accent1" w:themeShade="BF"/>
          <w:lang w:val="en-CA"/>
        </w:rPr>
        <w:t>(</w:t>
      </w:r>
      <w:r w:rsidRPr="003F0ADE">
        <w:rPr>
          <w:color w:val="365F91" w:themeColor="accent1" w:themeShade="BF"/>
          <w:lang w:val="en-CA"/>
        </w:rPr>
        <w:t>s</w:t>
      </w:r>
      <w:r w:rsidR="00854CB5">
        <w:rPr>
          <w:color w:val="365F91" w:themeColor="accent1" w:themeShade="BF"/>
          <w:lang w:val="en-CA"/>
        </w:rPr>
        <w:t>)</w:t>
      </w:r>
      <w:r w:rsidRPr="003F0ADE">
        <w:rPr>
          <w:color w:val="365F91" w:themeColor="accent1" w:themeShade="BF"/>
          <w:lang w:val="en-CA"/>
        </w:rPr>
        <w:t>.</w:t>
      </w:r>
    </w:p>
    <w:p w14:paraId="089C3FCB" w14:textId="6D48085D" w:rsidR="00B34319" w:rsidRDefault="00B34319" w:rsidP="00B34319">
      <w:pPr>
        <w:spacing w:after="0"/>
        <w:ind w:left="1134" w:hanging="1134"/>
        <w:rPr>
          <w:color w:val="1F497D" w:themeColor="text2"/>
        </w:rPr>
      </w:pPr>
    </w:p>
    <w:p w14:paraId="52CFCC1A" w14:textId="08F4192D" w:rsidR="00854CB5" w:rsidRDefault="00854CB5" w:rsidP="00854CB5">
      <w:pPr>
        <w:spacing w:after="0"/>
        <w:ind w:left="1134" w:hanging="1134"/>
        <w:rPr>
          <w:color w:val="1F497D" w:themeColor="text2"/>
        </w:rPr>
      </w:pPr>
      <w:r w:rsidRPr="003F0ADE">
        <w:rPr>
          <w:b/>
          <w:bCs/>
          <w:color w:val="1F497D" w:themeColor="text2"/>
        </w:rPr>
        <w:lastRenderedPageBreak/>
        <w:t xml:space="preserve">Proposal </w:t>
      </w:r>
      <w:r w:rsidR="00C704C2">
        <w:rPr>
          <w:b/>
          <w:bCs/>
          <w:color w:val="1F497D" w:themeColor="text2"/>
        </w:rPr>
        <w:t>5</w:t>
      </w:r>
      <w:r w:rsidRPr="003F0ADE">
        <w:rPr>
          <w:b/>
          <w:bCs/>
          <w:color w:val="1F497D" w:themeColor="text2"/>
        </w:rPr>
        <w:t xml:space="preserve">: </w:t>
      </w:r>
      <w:r>
        <w:rPr>
          <w:b/>
          <w:bCs/>
          <w:color w:val="1F497D" w:themeColor="text2"/>
        </w:rPr>
        <w:tab/>
      </w:r>
      <w:r>
        <w:rPr>
          <w:color w:val="1F497D" w:themeColor="text2"/>
        </w:rPr>
        <w:t xml:space="preserve">Active BWP switch test case </w:t>
      </w:r>
      <w:r w:rsidRPr="00854CB5">
        <w:rPr>
          <w:color w:val="1F497D" w:themeColor="text2"/>
        </w:rPr>
        <w:t xml:space="preserve">A.5.5.6.2.1 </w:t>
      </w:r>
      <w:r>
        <w:rPr>
          <w:color w:val="1F497D" w:themeColor="text2"/>
        </w:rPr>
        <w:t xml:space="preserve">is updated to specify that UE receives RRC reconfiguration for active BWP switching </w:t>
      </w:r>
      <w:r w:rsidR="00A01640">
        <w:rPr>
          <w:color w:val="1F497D" w:themeColor="text2"/>
        </w:rPr>
        <w:t xml:space="preserve">from SN </w:t>
      </w:r>
      <w:r>
        <w:rPr>
          <w:color w:val="1F497D" w:themeColor="text2"/>
        </w:rPr>
        <w:t>via signalling on SRB3.</w:t>
      </w:r>
    </w:p>
    <w:p w14:paraId="110ABD05" w14:textId="77777777" w:rsidR="00854CB5" w:rsidRPr="00854CB5" w:rsidRDefault="00854CB5" w:rsidP="00854CB5">
      <w:pPr>
        <w:spacing w:after="0"/>
        <w:ind w:left="1134" w:hanging="1134"/>
        <w:rPr>
          <w:color w:val="365F91" w:themeColor="accent1" w:themeShade="BF"/>
        </w:rPr>
      </w:pPr>
    </w:p>
    <w:p w14:paraId="112F652E" w14:textId="6119E173" w:rsidR="00817B9B" w:rsidRDefault="002B1DA2" w:rsidP="002B1DA2">
      <w:pPr>
        <w:pStyle w:val="Heading2"/>
        <w:rPr>
          <w:lang w:val="en-CA"/>
        </w:rPr>
      </w:pPr>
      <w:r>
        <w:rPr>
          <w:lang w:val="en-CA"/>
        </w:rPr>
        <w:t xml:space="preserve">Rel-15 </w:t>
      </w:r>
      <w:r w:rsidR="00817B9B">
        <w:rPr>
          <w:lang w:val="en-CA"/>
        </w:rPr>
        <w:t>Test cases in A.7 (</w:t>
      </w:r>
      <w:r w:rsidR="00CC0FB6">
        <w:t xml:space="preserve">NR standalone tests </w:t>
      </w:r>
      <w:r w:rsidR="00CC0FB6">
        <w:rPr>
          <w:lang w:eastAsia="zh-CN"/>
        </w:rPr>
        <w:t xml:space="preserve">with one or more NR cells in FR2) </w:t>
      </w:r>
      <w:r w:rsidR="00817B9B">
        <w:rPr>
          <w:lang w:val="en-CA"/>
        </w:rPr>
        <w:t>need</w:t>
      </w:r>
      <w:r w:rsidR="00634B35">
        <w:rPr>
          <w:lang w:val="en-CA"/>
        </w:rPr>
        <w:t>ing</w:t>
      </w:r>
      <w:r w:rsidR="00817B9B">
        <w:rPr>
          <w:lang w:val="en-CA"/>
        </w:rPr>
        <w:t xml:space="preserve"> special attention</w:t>
      </w:r>
    </w:p>
    <w:p w14:paraId="7692FD11" w14:textId="65C4262D" w:rsidR="00B34319" w:rsidRPr="00FF1DA4" w:rsidRDefault="00FF1DA4" w:rsidP="005B5762">
      <w:pPr>
        <w:spacing w:after="0"/>
        <w:ind w:left="1276" w:hanging="1276"/>
        <w:rPr>
          <w:u w:val="single"/>
          <w:lang w:val="en-CA"/>
        </w:rPr>
      </w:pPr>
      <w:r w:rsidRPr="00FF1DA4">
        <w:rPr>
          <w:u w:val="single"/>
          <w:lang w:val="en-CA"/>
        </w:rPr>
        <w:t>Handover</w:t>
      </w:r>
    </w:p>
    <w:p w14:paraId="726A04CD" w14:textId="73FD6C81" w:rsidR="00FF1DA4" w:rsidRPr="00FF1DA4" w:rsidRDefault="00FF1DA4" w:rsidP="00FF1DA4">
      <w:pPr>
        <w:spacing w:before="240"/>
        <w:rPr>
          <w:lang w:val="en-US"/>
        </w:rPr>
      </w:pPr>
      <w:r w:rsidRPr="00FF1DA4">
        <w:rPr>
          <w:lang w:val="en-US"/>
        </w:rPr>
        <w:t xml:space="preserve">The RRC message for handover will be provided via source PCell in NR FR1. </w:t>
      </w:r>
      <w:r>
        <w:rPr>
          <w:lang w:val="en-US"/>
        </w:rPr>
        <w:t>Currently in the test case, handover delay as well as handover interruption is counted from the point in time when the last TTI with the RRC message has been sent to the UE. Due to unclear FR1 performance, the starting point of the handover would not be conclusive if focusing on when the last TTI has been sent. It is suggested that each iteration of the test is conditioned on that the UE sends an ACK for said TTI to the source PCell in NR FR1. Power increase for the target PCell can be carried out by TE upon receiving ACK from the UE.</w:t>
      </w:r>
    </w:p>
    <w:p w14:paraId="66215761" w14:textId="37DB68E1" w:rsidR="00FF1DA4" w:rsidRDefault="00FF1DA4" w:rsidP="001A0FE3">
      <w:pPr>
        <w:pStyle w:val="ListParagraph"/>
        <w:numPr>
          <w:ilvl w:val="0"/>
          <w:numId w:val="13"/>
        </w:numPr>
        <w:rPr>
          <w:color w:val="365F91" w:themeColor="accent1" w:themeShade="BF"/>
          <w:lang w:val="en-US"/>
        </w:rPr>
      </w:pPr>
      <w:r w:rsidRPr="00FF1DA4">
        <w:rPr>
          <w:color w:val="365F91" w:themeColor="accent1" w:themeShade="BF"/>
          <w:lang w:val="en-US"/>
        </w:rPr>
        <w:t>A.7.3.1.1</w:t>
      </w:r>
      <w:r w:rsidRPr="00FF1DA4">
        <w:rPr>
          <w:color w:val="365F91" w:themeColor="accent1" w:themeShade="BF"/>
          <w:lang w:val="en-US"/>
        </w:rPr>
        <w:tab/>
        <w:t>Inter-frequency handover from FR1 to FR2; unknown target cell</w:t>
      </w:r>
    </w:p>
    <w:p w14:paraId="775363D7" w14:textId="3716D5BC" w:rsidR="00FF1DA4" w:rsidRPr="00506496" w:rsidRDefault="00FF1DA4" w:rsidP="00FF1DA4">
      <w:pPr>
        <w:ind w:left="1134" w:hanging="1134"/>
        <w:rPr>
          <w:color w:val="365F91" w:themeColor="accent1" w:themeShade="BF"/>
          <w:lang w:val="en-US"/>
        </w:rPr>
      </w:pPr>
      <w:r w:rsidRPr="00506496">
        <w:rPr>
          <w:b/>
          <w:bCs/>
          <w:color w:val="365F91" w:themeColor="accent1" w:themeShade="BF"/>
          <w:lang w:val="en-US"/>
        </w:rPr>
        <w:t xml:space="preserve">Proposal </w:t>
      </w:r>
      <w:r w:rsidR="00C704C2" w:rsidRPr="00506496">
        <w:rPr>
          <w:b/>
          <w:bCs/>
          <w:color w:val="365F91" w:themeColor="accent1" w:themeShade="BF"/>
          <w:lang w:val="en-US"/>
        </w:rPr>
        <w:t>6</w:t>
      </w:r>
      <w:r w:rsidRPr="00506496">
        <w:rPr>
          <w:b/>
          <w:bCs/>
          <w:color w:val="365F91" w:themeColor="accent1" w:themeShade="BF"/>
          <w:lang w:val="en-US"/>
        </w:rPr>
        <w:t>:</w:t>
      </w:r>
      <w:r w:rsidRPr="00506496">
        <w:rPr>
          <w:color w:val="365F91" w:themeColor="accent1" w:themeShade="BF"/>
          <w:lang w:val="en-US"/>
        </w:rPr>
        <w:tab/>
        <w:t>Handover test case A.7.3.1.1 shall be modified such that the handover delay as well as the power ramping for detectable target PCell is starting from the point in time when the UE has acknowledged the last TTI carrying the RRC reconfiguration message.</w:t>
      </w:r>
    </w:p>
    <w:p w14:paraId="23A4CE31" w14:textId="0B738851" w:rsidR="00FF1DA4" w:rsidRDefault="00FF1DA4" w:rsidP="00FF1DA4">
      <w:pPr>
        <w:ind w:left="1134" w:hanging="1134"/>
        <w:rPr>
          <w:color w:val="365F91" w:themeColor="accent1" w:themeShade="BF"/>
          <w:lang w:val="en-US"/>
        </w:rPr>
      </w:pPr>
    </w:p>
    <w:p w14:paraId="65C62230" w14:textId="77777777" w:rsidR="003522A3" w:rsidRPr="00223A24" w:rsidRDefault="003522A3" w:rsidP="00797A5B">
      <w:pPr>
        <w:ind w:left="1276" w:hanging="1276"/>
        <w:rPr>
          <w:u w:val="single"/>
          <w:lang w:val="en-CA"/>
        </w:rPr>
      </w:pPr>
      <w:r w:rsidRPr="00223A24">
        <w:rPr>
          <w:u w:val="single"/>
          <w:lang w:val="en-CA"/>
        </w:rPr>
        <w:t>SCell activation and deactivation delay</w:t>
      </w:r>
    </w:p>
    <w:p w14:paraId="694E1097" w14:textId="5717AC29" w:rsidR="00797A5B" w:rsidRDefault="003522A3" w:rsidP="003522A3">
      <w:pPr>
        <w:rPr>
          <w:lang w:val="en-US"/>
        </w:rPr>
      </w:pPr>
      <w:r w:rsidRPr="003522A3">
        <w:rPr>
          <w:lang w:val="en-US"/>
        </w:rPr>
        <w:t>For the following test case</w:t>
      </w:r>
      <w:r w:rsidR="00797A5B">
        <w:rPr>
          <w:lang w:val="en-US"/>
        </w:rPr>
        <w:t xml:space="preserve"> the</w:t>
      </w:r>
      <w:r w:rsidRPr="003522A3">
        <w:rPr>
          <w:lang w:val="en-US"/>
        </w:rPr>
        <w:t xml:space="preserve"> PCell is in NR FR1. Hence the receiver performance cannot be guaranteed by the TE, which impacts both determination of star</w:t>
      </w:r>
      <w:r w:rsidR="00797A5B">
        <w:rPr>
          <w:lang w:val="en-US"/>
        </w:rPr>
        <w:t>t</w:t>
      </w:r>
      <w:r w:rsidRPr="003522A3">
        <w:rPr>
          <w:lang w:val="en-US"/>
        </w:rPr>
        <w:t xml:space="preserve">ing point and </w:t>
      </w:r>
      <w:r w:rsidR="00D853A5">
        <w:rPr>
          <w:lang w:val="en-US"/>
        </w:rPr>
        <w:t xml:space="preserve">determination of </w:t>
      </w:r>
      <w:r w:rsidRPr="003522A3">
        <w:rPr>
          <w:lang w:val="en-US"/>
        </w:rPr>
        <w:t>ending point of the SCell activation.</w:t>
      </w:r>
      <w:r>
        <w:rPr>
          <w:lang w:val="en-US"/>
        </w:rPr>
        <w:t xml:space="preserve"> One alternative would be to change the test case to consider the starting point of the SCell activation delay to be after the UE has sent an ACK on the received MAC message, but it would still not lead to conclusive results since there would be uncertainty on the ending po</w:t>
      </w:r>
      <w:r w:rsidR="00797A5B">
        <w:rPr>
          <w:lang w:val="en-US"/>
        </w:rPr>
        <w:t>i</w:t>
      </w:r>
      <w:r>
        <w:rPr>
          <w:lang w:val="en-US"/>
        </w:rPr>
        <w:t xml:space="preserve">nt – CSI transmission in PCell for SCell. One alternative here would be to schedule the UE on PDCCH in SCell to transmit something on PUSCH in SCell, </w:t>
      </w:r>
      <w:r w:rsidR="00D853A5">
        <w:rPr>
          <w:lang w:val="en-US"/>
        </w:rPr>
        <w:t xml:space="preserve">e.g. SRS, </w:t>
      </w:r>
      <w:r>
        <w:rPr>
          <w:lang w:val="en-US"/>
        </w:rPr>
        <w:t xml:space="preserve">and use such transmission as ending point. </w:t>
      </w:r>
      <w:r w:rsidR="00797A5B">
        <w:rPr>
          <w:lang w:val="en-US"/>
        </w:rPr>
        <w:t>This would however be a significant change of the test case. Another alternative, which is the one we propose, is to allow the UE to skip the test until the testability issue has been addressed.</w:t>
      </w:r>
    </w:p>
    <w:p w14:paraId="7DB3EC86" w14:textId="2A3A31BB" w:rsidR="003522A3" w:rsidRDefault="003522A3" w:rsidP="001A0FE3">
      <w:pPr>
        <w:pStyle w:val="ListParagraph"/>
        <w:numPr>
          <w:ilvl w:val="0"/>
          <w:numId w:val="13"/>
        </w:numPr>
        <w:rPr>
          <w:color w:val="C00000"/>
          <w:lang w:val="en-US"/>
        </w:rPr>
      </w:pPr>
      <w:r w:rsidRPr="00D853A5">
        <w:rPr>
          <w:color w:val="C00000"/>
          <w:lang w:val="en-US"/>
        </w:rPr>
        <w:t>A.7.5.3.2</w:t>
      </w:r>
      <w:r w:rsidRPr="00D853A5">
        <w:rPr>
          <w:color w:val="C00000"/>
          <w:lang w:val="en-US"/>
        </w:rPr>
        <w:tab/>
        <w:t>SCell Activation and deactivation for FR1+FR2 inter-band with target SCell in FR2</w:t>
      </w:r>
    </w:p>
    <w:p w14:paraId="507727C4" w14:textId="77777777" w:rsidR="00D853A5" w:rsidRPr="00D853A5" w:rsidRDefault="00D853A5" w:rsidP="00D853A5">
      <w:pPr>
        <w:spacing w:after="0"/>
        <w:ind w:left="360"/>
        <w:rPr>
          <w:color w:val="1F497D" w:themeColor="text2"/>
        </w:rPr>
      </w:pPr>
    </w:p>
    <w:p w14:paraId="063D6372" w14:textId="67223E97" w:rsidR="00D853A5" w:rsidRPr="00D853A5" w:rsidRDefault="00D853A5" w:rsidP="009F2AB7">
      <w:pPr>
        <w:spacing w:after="0"/>
        <w:ind w:left="1134" w:hanging="1134"/>
        <w:rPr>
          <w:color w:val="9BBB59" w:themeColor="accent3"/>
        </w:rPr>
      </w:pPr>
      <w:r w:rsidRPr="00D853A5">
        <w:rPr>
          <w:b/>
          <w:bCs/>
          <w:color w:val="1F497D" w:themeColor="text2"/>
        </w:rPr>
        <w:t xml:space="preserve">Proposal </w:t>
      </w:r>
      <w:r w:rsidR="00C704C2">
        <w:rPr>
          <w:b/>
          <w:bCs/>
          <w:color w:val="1F497D" w:themeColor="text2"/>
        </w:rPr>
        <w:t>7</w:t>
      </w:r>
      <w:r w:rsidRPr="00D853A5">
        <w:rPr>
          <w:b/>
          <w:bCs/>
          <w:color w:val="1F497D" w:themeColor="text2"/>
        </w:rPr>
        <w:t xml:space="preserve">: </w:t>
      </w:r>
      <w:r w:rsidRPr="00D853A5">
        <w:rPr>
          <w:b/>
          <w:bCs/>
          <w:color w:val="1F497D" w:themeColor="text2"/>
        </w:rPr>
        <w:tab/>
      </w:r>
      <w:r w:rsidRPr="00D853A5">
        <w:rPr>
          <w:color w:val="1F497D" w:themeColor="text2"/>
        </w:rPr>
        <w:t xml:space="preserve">SCell activation and deactivation test case </w:t>
      </w:r>
      <w:r w:rsidRPr="00D853A5">
        <w:rPr>
          <w:color w:val="C00000"/>
        </w:rPr>
        <w:t>A.</w:t>
      </w:r>
      <w:r>
        <w:rPr>
          <w:color w:val="C00000"/>
        </w:rPr>
        <w:t>7</w:t>
      </w:r>
      <w:r w:rsidRPr="00D853A5">
        <w:rPr>
          <w:color w:val="C00000"/>
        </w:rPr>
        <w:t xml:space="preserve">.5.3.2 </w:t>
      </w:r>
      <w:r w:rsidRPr="00D853A5">
        <w:rPr>
          <w:color w:val="365F91" w:themeColor="accent1" w:themeShade="BF"/>
        </w:rPr>
        <w:t xml:space="preserve">is updated </w:t>
      </w:r>
      <w:r w:rsidRPr="00D853A5">
        <w:rPr>
          <w:color w:val="1F497D" w:themeColor="text2"/>
        </w:rPr>
        <w:t>to state that in the current version of the specification a UE does not have to pass the test.</w:t>
      </w:r>
    </w:p>
    <w:p w14:paraId="159299E5" w14:textId="38336FB9" w:rsidR="00D853A5" w:rsidRDefault="00D853A5" w:rsidP="00D853A5">
      <w:pPr>
        <w:rPr>
          <w:color w:val="C00000"/>
        </w:rPr>
      </w:pPr>
    </w:p>
    <w:p w14:paraId="2851E4ED" w14:textId="7B3D3C55" w:rsidR="00AA0774" w:rsidRDefault="00AA0774" w:rsidP="00D853A5">
      <w:pPr>
        <w:rPr>
          <w:u w:val="single"/>
          <w:lang w:val="en-CA"/>
        </w:rPr>
      </w:pPr>
      <w:r w:rsidRPr="00837C25">
        <w:rPr>
          <w:u w:val="single"/>
          <w:lang w:val="en-CA"/>
        </w:rPr>
        <w:t>Active BWP switch</w:t>
      </w:r>
    </w:p>
    <w:p w14:paraId="77407539" w14:textId="2C19BA45" w:rsidR="00AA0774" w:rsidRPr="00F61334" w:rsidRDefault="00F61334" w:rsidP="00D853A5">
      <w:pPr>
        <w:rPr>
          <w:lang w:val="en-CA"/>
        </w:rPr>
      </w:pPr>
      <w:r w:rsidRPr="00F61334">
        <w:rPr>
          <w:lang w:val="en-CA"/>
        </w:rPr>
        <w:t>For the following test case</w:t>
      </w:r>
      <w:r>
        <w:rPr>
          <w:lang w:val="en-CA"/>
        </w:rPr>
        <w:t xml:space="preserve"> the BWP switching is carried out in FR1 and observed in FR2. Due to unclear TE performance in FR1, the starting point of the DCI-triggered BWP switching is inconclusive. Hence the test case becomes inconclusive, and we </w:t>
      </w:r>
      <w:r w:rsidR="00FE067B">
        <w:rPr>
          <w:lang w:val="en-CA"/>
        </w:rPr>
        <w:t>therefor</w:t>
      </w:r>
      <w:r w:rsidR="00797A5B">
        <w:rPr>
          <w:lang w:val="en-CA"/>
        </w:rPr>
        <w:t>e</w:t>
      </w:r>
      <w:r w:rsidR="00FE067B">
        <w:rPr>
          <w:lang w:val="en-CA"/>
        </w:rPr>
        <w:t xml:space="preserve"> </w:t>
      </w:r>
      <w:r>
        <w:rPr>
          <w:lang w:val="en-CA"/>
        </w:rPr>
        <w:t xml:space="preserve">propose </w:t>
      </w:r>
      <w:r w:rsidR="00FE067B">
        <w:rPr>
          <w:lang w:val="en-CA"/>
        </w:rPr>
        <w:t>that a UE does not have to pass it until the testability issue has been addressed.</w:t>
      </w:r>
    </w:p>
    <w:p w14:paraId="2581D228" w14:textId="1239BC31" w:rsidR="00AA0774" w:rsidRDefault="00AA0774" w:rsidP="001A0FE3">
      <w:pPr>
        <w:pStyle w:val="ListParagraph"/>
        <w:numPr>
          <w:ilvl w:val="0"/>
          <w:numId w:val="13"/>
        </w:numPr>
        <w:rPr>
          <w:color w:val="C00000"/>
        </w:rPr>
      </w:pPr>
      <w:r w:rsidRPr="00AA0774">
        <w:rPr>
          <w:color w:val="C00000"/>
        </w:rPr>
        <w:t>A.7.5.6.1.2</w:t>
      </w:r>
      <w:r w:rsidRPr="00AA0774">
        <w:rPr>
          <w:color w:val="C00000"/>
        </w:rPr>
        <w:tab/>
        <w:t>NR FR1- NR FR2 DL active BWP switch of PCell with non-DRX in SA</w:t>
      </w:r>
    </w:p>
    <w:p w14:paraId="657230BC" w14:textId="27368349" w:rsidR="00F61334" w:rsidRPr="00F61334" w:rsidRDefault="00F61334" w:rsidP="00F61334">
      <w:pPr>
        <w:spacing w:after="0"/>
        <w:ind w:left="1134" w:hanging="1134"/>
        <w:rPr>
          <w:color w:val="9BBB59" w:themeColor="accent3"/>
        </w:rPr>
      </w:pPr>
      <w:r w:rsidRPr="00F61334">
        <w:rPr>
          <w:b/>
          <w:bCs/>
          <w:color w:val="1F497D" w:themeColor="text2"/>
        </w:rPr>
        <w:t xml:space="preserve">Proposal </w:t>
      </w:r>
      <w:r w:rsidR="00C704C2">
        <w:rPr>
          <w:b/>
          <w:bCs/>
          <w:color w:val="1F497D" w:themeColor="text2"/>
        </w:rPr>
        <w:t>8</w:t>
      </w:r>
      <w:r w:rsidRPr="00F61334">
        <w:rPr>
          <w:b/>
          <w:bCs/>
          <w:color w:val="1F497D" w:themeColor="text2"/>
        </w:rPr>
        <w:t xml:space="preserve">: </w:t>
      </w:r>
      <w:r>
        <w:rPr>
          <w:b/>
          <w:bCs/>
          <w:color w:val="1F497D" w:themeColor="text2"/>
        </w:rPr>
        <w:tab/>
      </w:r>
      <w:r w:rsidRPr="00F61334">
        <w:rPr>
          <w:color w:val="1F497D" w:themeColor="text2"/>
        </w:rPr>
        <w:t xml:space="preserve">Active BWP switch test case </w:t>
      </w:r>
      <w:r w:rsidRPr="00F61334">
        <w:rPr>
          <w:color w:val="C00000"/>
        </w:rPr>
        <w:t>A.7.5.6.1.2</w:t>
      </w:r>
      <w:r>
        <w:rPr>
          <w:color w:val="C00000"/>
        </w:rPr>
        <w:t xml:space="preserve"> </w:t>
      </w:r>
      <w:r w:rsidRPr="00F61334">
        <w:rPr>
          <w:color w:val="365F91" w:themeColor="accent1" w:themeShade="BF"/>
        </w:rPr>
        <w:t xml:space="preserve">is updated </w:t>
      </w:r>
      <w:r w:rsidRPr="00F61334">
        <w:rPr>
          <w:color w:val="1F497D" w:themeColor="text2"/>
        </w:rPr>
        <w:t>to state that in the current version of the specification a UE does not have to pass the test.</w:t>
      </w:r>
    </w:p>
    <w:p w14:paraId="4BF55421" w14:textId="7C46AE0F" w:rsidR="00F61334" w:rsidRPr="00E900CA" w:rsidRDefault="00F61334" w:rsidP="00F61334">
      <w:pPr>
        <w:rPr>
          <w:u w:val="single"/>
        </w:rPr>
      </w:pPr>
    </w:p>
    <w:p w14:paraId="3E906552" w14:textId="2721ED7F" w:rsidR="00E900CA" w:rsidRDefault="00E900CA" w:rsidP="00F61334">
      <w:pPr>
        <w:rPr>
          <w:u w:val="single"/>
        </w:rPr>
      </w:pPr>
      <w:r w:rsidRPr="00E900CA">
        <w:rPr>
          <w:u w:val="single"/>
        </w:rPr>
        <w:t>PSCell addition and release</w:t>
      </w:r>
    </w:p>
    <w:p w14:paraId="5BA0F6A2" w14:textId="240EE24D" w:rsidR="009F774E" w:rsidRPr="009F2AB7" w:rsidRDefault="009F774E" w:rsidP="00F61334">
      <w:r>
        <w:t xml:space="preserve">For the following test case, the RRC configuration for adding PSCell in NR FR2 is provided by PCell in NR FR1. Since the performance in FR1 cannot be guaranteed by the TE, one may consider to change the test case to focus on the delay from UE sending ACK in NR FR1 PCell on RRC message adding the NR FR2 PSCell, until random access is carried </w:t>
      </w:r>
      <w:r w:rsidRPr="009F2AB7">
        <w:t xml:space="preserve">out in the PSCell. </w:t>
      </w:r>
    </w:p>
    <w:p w14:paraId="40CE5360" w14:textId="61813159" w:rsidR="00E900CA" w:rsidRPr="009F2AB7" w:rsidRDefault="009F774E" w:rsidP="001A0FE3">
      <w:pPr>
        <w:pStyle w:val="ListParagraph"/>
        <w:numPr>
          <w:ilvl w:val="0"/>
          <w:numId w:val="13"/>
        </w:numPr>
      </w:pPr>
      <w:r w:rsidRPr="009F2AB7">
        <w:t>A.7.5.7.1</w:t>
      </w:r>
      <w:r w:rsidRPr="009F2AB7">
        <w:tab/>
        <w:t>Addition and Release Delay of known NR PSCell</w:t>
      </w:r>
    </w:p>
    <w:p w14:paraId="344F1BD1" w14:textId="3E0C4069" w:rsidR="009F774E" w:rsidRPr="009F2AB7" w:rsidRDefault="009F774E" w:rsidP="001A0FE3">
      <w:pPr>
        <w:pStyle w:val="ListParagraph"/>
        <w:numPr>
          <w:ilvl w:val="0"/>
          <w:numId w:val="13"/>
        </w:numPr>
      </w:pPr>
      <w:r w:rsidRPr="009F2AB7">
        <w:t>A.7.5.7.2</w:t>
      </w:r>
      <w:r w:rsidRPr="009F2AB7">
        <w:tab/>
        <w:t>Addition and Release Delay of unknown NR PSCell</w:t>
      </w:r>
    </w:p>
    <w:p w14:paraId="6D0609E2" w14:textId="3B201311" w:rsidR="009F774E" w:rsidRPr="00506496" w:rsidRDefault="009F774E" w:rsidP="009F2AB7">
      <w:pPr>
        <w:ind w:left="1134" w:hanging="1134"/>
        <w:rPr>
          <w:color w:val="365F91" w:themeColor="accent1" w:themeShade="BF"/>
        </w:rPr>
      </w:pPr>
      <w:r w:rsidRPr="00506496">
        <w:rPr>
          <w:b/>
          <w:bCs/>
          <w:color w:val="365F91" w:themeColor="accent1" w:themeShade="BF"/>
        </w:rPr>
        <w:lastRenderedPageBreak/>
        <w:t xml:space="preserve">Proposal </w:t>
      </w:r>
      <w:r w:rsidR="00C704C2" w:rsidRPr="00506496">
        <w:rPr>
          <w:b/>
          <w:bCs/>
          <w:color w:val="365F91" w:themeColor="accent1" w:themeShade="BF"/>
        </w:rPr>
        <w:t>9</w:t>
      </w:r>
      <w:r w:rsidRPr="00506496">
        <w:rPr>
          <w:b/>
          <w:bCs/>
          <w:color w:val="365F91" w:themeColor="accent1" w:themeShade="BF"/>
        </w:rPr>
        <w:t>:</w:t>
      </w:r>
      <w:r w:rsidRPr="00506496">
        <w:rPr>
          <w:color w:val="365F91" w:themeColor="accent1" w:themeShade="BF"/>
        </w:rPr>
        <w:t xml:space="preserve"> </w:t>
      </w:r>
      <w:r w:rsidRPr="00506496">
        <w:rPr>
          <w:color w:val="365F91" w:themeColor="accent1" w:themeShade="BF"/>
        </w:rPr>
        <w:tab/>
        <w:t>PSCell addition and release test cases A.7.5.7.1 and A.7.5.7.2 are modified to only test the time between UE provides ACK on RRC message in NR FR1 PCell untill PRACH is carried out in NR FR2 PSCell.</w:t>
      </w:r>
    </w:p>
    <w:p w14:paraId="3879E910" w14:textId="519EFA97" w:rsidR="009F2AB7" w:rsidRPr="009F2AB7" w:rsidRDefault="009F2AB7" w:rsidP="009F774E">
      <w:pPr>
        <w:ind w:left="1134" w:hanging="1134"/>
        <w:rPr>
          <w:u w:val="single"/>
        </w:rPr>
      </w:pPr>
      <w:r w:rsidRPr="009F2AB7">
        <w:rPr>
          <w:u w:val="single"/>
        </w:rPr>
        <w:t>Measurement procedure</w:t>
      </w:r>
    </w:p>
    <w:p w14:paraId="59E82F6B" w14:textId="33FC95C3" w:rsidR="00154EEB" w:rsidRPr="00154EEB" w:rsidRDefault="00FE067B" w:rsidP="00FE067B">
      <w:r>
        <w:t>The FR1 performance in the OTA test setup cannot be guaranteed by the TE. Hence the outcome of test cases with measurements on FR2 carriers but with event-triggered reporting in FR1 becomes inconclusive</w:t>
      </w:r>
      <w:r w:rsidR="0025113E">
        <w:t>, as one cannot tell whether the first event-triggered report received by the TE is the first such report transmitted by the UE</w:t>
      </w:r>
      <w:r w:rsidR="00BB12A1">
        <w:t>, i.e., this leads to doubts on whether the UE detected the event properly and timely</w:t>
      </w:r>
      <w:r w:rsidR="0025113E">
        <w:t xml:space="preserve">. </w:t>
      </w:r>
      <w:r>
        <w:t>Therefor</w:t>
      </w:r>
      <w:r w:rsidR="00797A5B">
        <w:t>e</w:t>
      </w:r>
      <w:r>
        <w:t xml:space="preserve"> we propose that until the testability issue has been resolved, a UE does not have to pass the following test cases.</w:t>
      </w:r>
    </w:p>
    <w:p w14:paraId="3119EB43" w14:textId="46F4BB9B" w:rsidR="009F774E" w:rsidRPr="009F2AB7" w:rsidRDefault="009F2AB7" w:rsidP="001A0FE3">
      <w:pPr>
        <w:pStyle w:val="ListParagraph"/>
        <w:numPr>
          <w:ilvl w:val="0"/>
          <w:numId w:val="14"/>
        </w:numPr>
        <w:rPr>
          <w:color w:val="C00000"/>
        </w:rPr>
      </w:pPr>
      <w:r w:rsidRPr="009F2AB7">
        <w:rPr>
          <w:color w:val="C00000"/>
        </w:rPr>
        <w:t>A.7.6.2.5</w:t>
      </w:r>
      <w:r w:rsidRPr="009F2AB7">
        <w:rPr>
          <w:color w:val="C00000"/>
        </w:rPr>
        <w:tab/>
        <w:t>SA event triggered reporting tests for FR2 without SSB time index detection when DRX is not used (PCell in FR1)</w:t>
      </w:r>
    </w:p>
    <w:p w14:paraId="11536274" w14:textId="7B972819" w:rsidR="009F2AB7" w:rsidRPr="009F2AB7" w:rsidRDefault="009F2AB7" w:rsidP="001A0FE3">
      <w:pPr>
        <w:pStyle w:val="ListParagraph"/>
        <w:numPr>
          <w:ilvl w:val="0"/>
          <w:numId w:val="14"/>
        </w:numPr>
        <w:rPr>
          <w:color w:val="C00000"/>
        </w:rPr>
      </w:pPr>
      <w:r w:rsidRPr="009F2AB7">
        <w:rPr>
          <w:color w:val="C00000"/>
        </w:rPr>
        <w:t>A.7.6.2.6</w:t>
      </w:r>
      <w:r w:rsidRPr="009F2AB7">
        <w:rPr>
          <w:color w:val="C00000"/>
        </w:rPr>
        <w:tab/>
        <w:t>SA event triggered reporting tests for FR2 without SSB time index detection when DRX is used (PCell in FR1)</w:t>
      </w:r>
    </w:p>
    <w:p w14:paraId="70EA4290" w14:textId="1032F77D" w:rsidR="009F2AB7" w:rsidRPr="009F2AB7" w:rsidRDefault="009F2AB7" w:rsidP="001A0FE3">
      <w:pPr>
        <w:pStyle w:val="ListParagraph"/>
        <w:numPr>
          <w:ilvl w:val="0"/>
          <w:numId w:val="14"/>
        </w:numPr>
        <w:rPr>
          <w:color w:val="C00000"/>
        </w:rPr>
      </w:pPr>
      <w:r w:rsidRPr="009F2AB7">
        <w:rPr>
          <w:color w:val="C00000"/>
        </w:rPr>
        <w:t>A.7.6.2.7</w:t>
      </w:r>
      <w:r w:rsidRPr="009F2AB7">
        <w:rPr>
          <w:color w:val="C00000"/>
        </w:rPr>
        <w:tab/>
        <w:t>SA event triggered reporting tests for FR2 with SSB time index detection when DRX is not used (PCell in FR1)</w:t>
      </w:r>
    </w:p>
    <w:p w14:paraId="114D75F6" w14:textId="12877D77" w:rsidR="009F2AB7" w:rsidRPr="00797A5B" w:rsidRDefault="009F2AB7" w:rsidP="001A0FE3">
      <w:pPr>
        <w:pStyle w:val="ListParagraph"/>
        <w:numPr>
          <w:ilvl w:val="0"/>
          <w:numId w:val="14"/>
        </w:numPr>
        <w:rPr>
          <w:color w:val="C00000"/>
        </w:rPr>
      </w:pPr>
      <w:r w:rsidRPr="009F2AB7">
        <w:rPr>
          <w:color w:val="C00000"/>
        </w:rPr>
        <w:t>A.7.6.2.8</w:t>
      </w:r>
      <w:r w:rsidRPr="009F2AB7">
        <w:rPr>
          <w:color w:val="C00000"/>
        </w:rPr>
        <w:tab/>
        <w:t>SA event triggered reporting tests for FR2 with SSB time index detection when DRX is used (PCell in FR1)</w:t>
      </w:r>
    </w:p>
    <w:p w14:paraId="63B3191C" w14:textId="58640253" w:rsidR="009F2AB7" w:rsidRPr="009F2AB7" w:rsidRDefault="009F2AB7" w:rsidP="009F2AB7">
      <w:pPr>
        <w:spacing w:after="0"/>
        <w:ind w:left="1134" w:hanging="1134"/>
        <w:rPr>
          <w:color w:val="1F497D" w:themeColor="text2"/>
        </w:rPr>
      </w:pPr>
      <w:r w:rsidRPr="009F2AB7">
        <w:rPr>
          <w:b/>
          <w:bCs/>
          <w:color w:val="1F497D" w:themeColor="text2"/>
        </w:rPr>
        <w:t xml:space="preserve">Proposal </w:t>
      </w:r>
      <w:r w:rsidR="00C704C2">
        <w:rPr>
          <w:b/>
          <w:bCs/>
          <w:color w:val="1F497D" w:themeColor="text2"/>
        </w:rPr>
        <w:t>10</w:t>
      </w:r>
      <w:r w:rsidRPr="009F2AB7">
        <w:rPr>
          <w:b/>
          <w:bCs/>
          <w:color w:val="1F497D" w:themeColor="text2"/>
        </w:rPr>
        <w:t xml:space="preserve">: </w:t>
      </w:r>
      <w:r w:rsidRPr="009F2AB7">
        <w:rPr>
          <w:b/>
          <w:bCs/>
          <w:color w:val="1F497D" w:themeColor="text2"/>
        </w:rPr>
        <w:tab/>
      </w:r>
      <w:r w:rsidRPr="009F2AB7">
        <w:rPr>
          <w:color w:val="1F497D" w:themeColor="text2"/>
        </w:rPr>
        <w:t>Inter-frequency measurement procedure test cases</w:t>
      </w:r>
      <w:r>
        <w:rPr>
          <w:color w:val="1F497D" w:themeColor="text2"/>
        </w:rPr>
        <w:t xml:space="preserve"> </w:t>
      </w:r>
      <w:r w:rsidRPr="009F2AB7">
        <w:rPr>
          <w:color w:val="C00000"/>
        </w:rPr>
        <w:t xml:space="preserve">A.7.6.2.5, A.7.6.2.6, A.7.6.2.7, and A.7.6.2.8 </w:t>
      </w:r>
      <w:r w:rsidRPr="009F2AB7">
        <w:rPr>
          <w:color w:val="1F497D" w:themeColor="text2"/>
        </w:rPr>
        <w:t>are updated to state that in the current version of the specification a UE does not have to pass the test.</w:t>
      </w:r>
    </w:p>
    <w:p w14:paraId="5914FDB9" w14:textId="21571B26" w:rsidR="009F2AB7" w:rsidRDefault="009F2AB7" w:rsidP="009F2AB7">
      <w:pPr>
        <w:rPr>
          <w:color w:val="C00000"/>
        </w:rPr>
      </w:pPr>
    </w:p>
    <w:p w14:paraId="25B95673" w14:textId="676A2E7A" w:rsidR="00786A8E" w:rsidRDefault="00786A8E" w:rsidP="009F2AB7">
      <w:pPr>
        <w:rPr>
          <w:u w:val="single"/>
        </w:rPr>
      </w:pPr>
      <w:r w:rsidRPr="00786A8E">
        <w:rPr>
          <w:u w:val="single"/>
        </w:rPr>
        <w:t>Measurement performance</w:t>
      </w:r>
    </w:p>
    <w:p w14:paraId="6F85ED5D" w14:textId="4F4AEFAB" w:rsidR="0054662D" w:rsidRPr="00797A5B" w:rsidRDefault="00797A5B" w:rsidP="009F2AB7">
      <w:r>
        <w:t>Currently the OTA TE cannot guarantee the FR1 signal conditions. Hence relative measurement accuracy between FR1 and FR2 cannot be tested</w:t>
      </w:r>
      <w:r w:rsidR="00CF24E7">
        <w:t xml:space="preserve"> conclusively</w:t>
      </w:r>
      <w:r>
        <w:t>. We therefore propose that the following test case is modified to only test absolute accuracy of the FR2 carrier.</w:t>
      </w:r>
    </w:p>
    <w:p w14:paraId="27CF22D4" w14:textId="3705E356" w:rsidR="0054662D" w:rsidRDefault="0054662D" w:rsidP="001A0FE3">
      <w:pPr>
        <w:pStyle w:val="ListParagraph"/>
        <w:numPr>
          <w:ilvl w:val="0"/>
          <w:numId w:val="15"/>
        </w:numPr>
        <w:rPr>
          <w:color w:val="17365D" w:themeColor="text2" w:themeShade="BF"/>
        </w:rPr>
      </w:pPr>
      <w:r w:rsidRPr="0054662D">
        <w:rPr>
          <w:color w:val="17365D" w:themeColor="text2" w:themeShade="BF"/>
        </w:rPr>
        <w:t>A.7.7.1.3</w:t>
      </w:r>
      <w:r w:rsidRPr="0054662D">
        <w:rPr>
          <w:color w:val="17365D" w:themeColor="text2" w:themeShade="BF"/>
        </w:rPr>
        <w:tab/>
        <w:t>SA inter-frequency measurement accuracy with FR1 serving cell and FR2 target cell</w:t>
      </w:r>
    </w:p>
    <w:p w14:paraId="77EF3B0C" w14:textId="524D78B8" w:rsidR="0054662D" w:rsidRDefault="0054662D" w:rsidP="0054662D">
      <w:pPr>
        <w:ind w:left="1134" w:hanging="1134"/>
        <w:rPr>
          <w:color w:val="17365D" w:themeColor="text2" w:themeShade="BF"/>
        </w:rPr>
      </w:pPr>
      <w:r w:rsidRPr="0054662D">
        <w:rPr>
          <w:b/>
          <w:bCs/>
          <w:color w:val="17365D" w:themeColor="text2" w:themeShade="BF"/>
        </w:rPr>
        <w:t xml:space="preserve">Proposal </w:t>
      </w:r>
      <w:r w:rsidR="00C704C2">
        <w:rPr>
          <w:b/>
          <w:bCs/>
          <w:color w:val="17365D" w:themeColor="text2" w:themeShade="BF"/>
        </w:rPr>
        <w:t>11</w:t>
      </w:r>
      <w:r w:rsidRPr="0054662D">
        <w:rPr>
          <w:b/>
          <w:bCs/>
          <w:color w:val="17365D" w:themeColor="text2" w:themeShade="BF"/>
        </w:rPr>
        <w:t>:</w:t>
      </w:r>
      <w:r>
        <w:rPr>
          <w:b/>
          <w:bCs/>
          <w:color w:val="17365D" w:themeColor="text2" w:themeShade="BF"/>
        </w:rPr>
        <w:t xml:space="preserve"> </w:t>
      </w:r>
      <w:r>
        <w:rPr>
          <w:b/>
          <w:bCs/>
          <w:color w:val="17365D" w:themeColor="text2" w:themeShade="BF"/>
        </w:rPr>
        <w:tab/>
      </w:r>
      <w:r w:rsidRPr="0054662D">
        <w:rPr>
          <w:color w:val="17365D" w:themeColor="text2" w:themeShade="BF"/>
        </w:rPr>
        <w:t>Inter-frequency measurement performance test case A.7.7.1.3 is modified to only test absolute measurement accuracy on NR FR2 carrier.</w:t>
      </w:r>
    </w:p>
    <w:p w14:paraId="639BC721" w14:textId="6A331DB8" w:rsidR="00B423BB" w:rsidRDefault="00B423BB" w:rsidP="0054662D">
      <w:pPr>
        <w:ind w:left="1134" w:hanging="1134"/>
        <w:rPr>
          <w:b/>
          <w:bCs/>
          <w:color w:val="17365D" w:themeColor="text2" w:themeShade="BF"/>
        </w:rPr>
      </w:pPr>
    </w:p>
    <w:p w14:paraId="30859527" w14:textId="21BDA269" w:rsidR="00B423BB" w:rsidRDefault="002B1DA2" w:rsidP="002B1DA2">
      <w:pPr>
        <w:pStyle w:val="Heading2"/>
        <w:rPr>
          <w:lang w:val="en-CA"/>
        </w:rPr>
      </w:pPr>
      <w:r>
        <w:rPr>
          <w:lang w:val="en-CA"/>
        </w:rPr>
        <w:t xml:space="preserve">Rel-15 </w:t>
      </w:r>
      <w:r w:rsidR="00B423BB">
        <w:rPr>
          <w:lang w:val="en-CA"/>
        </w:rPr>
        <w:t>Test cases in A.8 (</w:t>
      </w:r>
      <w:r w:rsidR="00B423BB" w:rsidRPr="00A62BB0">
        <w:rPr>
          <w:lang w:val="en-US"/>
        </w:rPr>
        <w:t>E-UTRA standalone tests for NR RRM</w:t>
      </w:r>
      <w:r w:rsidR="00B423BB">
        <w:rPr>
          <w:lang w:eastAsia="zh-CN"/>
        </w:rPr>
        <w:t xml:space="preserve">) </w:t>
      </w:r>
      <w:r w:rsidR="00634B35">
        <w:t xml:space="preserve">needing </w:t>
      </w:r>
      <w:r w:rsidR="00B423BB">
        <w:rPr>
          <w:lang w:val="en-CA"/>
        </w:rPr>
        <w:t>special attention</w:t>
      </w:r>
    </w:p>
    <w:p w14:paraId="460808CA" w14:textId="7C0A2E48" w:rsidR="00B423BB" w:rsidRDefault="005E34AA" w:rsidP="0054662D">
      <w:pPr>
        <w:ind w:left="1134" w:hanging="1134"/>
        <w:rPr>
          <w:u w:val="single"/>
          <w:lang w:val="en-CA"/>
        </w:rPr>
      </w:pPr>
      <w:r w:rsidRPr="00CF24E7">
        <w:rPr>
          <w:u w:val="single"/>
          <w:lang w:val="en-CA"/>
        </w:rPr>
        <w:t>Measurement procedure</w:t>
      </w:r>
    </w:p>
    <w:p w14:paraId="28DB643C" w14:textId="7E95F7A5" w:rsidR="00BB12A1" w:rsidRPr="00154EEB" w:rsidRDefault="00BB12A1" w:rsidP="00BB12A1">
      <w:r>
        <w:t>The LTE performance in the OTA test setup cannot be guaranteed by the TE. Hence the outcome of test cases with measurements on FR2 carriers but with event-triggered reporting in LTE becomes inconclusive, as one cannot tell whether the first event-triggered report received by the TE is the first such report transmitted by the UE, i.e., this leads to doubts on whether the UE detected the event properly and timely. Therefore we propose that until the testability issue has been resolved, a UE does not have to pass the following test cases.</w:t>
      </w:r>
    </w:p>
    <w:p w14:paraId="550A4912" w14:textId="05A0C308" w:rsidR="005E34AA" w:rsidRDefault="005E34AA" w:rsidP="001A0FE3">
      <w:pPr>
        <w:pStyle w:val="ListParagraph"/>
        <w:numPr>
          <w:ilvl w:val="0"/>
          <w:numId w:val="15"/>
        </w:numPr>
        <w:rPr>
          <w:color w:val="C00000"/>
          <w:lang w:val="en-CA"/>
        </w:rPr>
      </w:pPr>
      <w:r w:rsidRPr="005E34AA">
        <w:rPr>
          <w:color w:val="C00000"/>
          <w:lang w:val="en-CA"/>
        </w:rPr>
        <w:t>A.8.4.2.5</w:t>
      </w:r>
      <w:r w:rsidRPr="005E34AA">
        <w:rPr>
          <w:color w:val="C00000"/>
          <w:lang w:val="en-CA"/>
        </w:rPr>
        <w:tab/>
        <w:t>NR Inter-RAT event triggered reporting tests for FR2 without SSB time index detection when DRX is not used</w:t>
      </w:r>
    </w:p>
    <w:p w14:paraId="0366BB70" w14:textId="4BAFF20F" w:rsidR="005E34AA" w:rsidRDefault="005E34AA" w:rsidP="001A0FE3">
      <w:pPr>
        <w:pStyle w:val="ListParagraph"/>
        <w:numPr>
          <w:ilvl w:val="0"/>
          <w:numId w:val="15"/>
        </w:numPr>
        <w:rPr>
          <w:color w:val="C00000"/>
          <w:lang w:val="en-CA"/>
        </w:rPr>
      </w:pPr>
      <w:r w:rsidRPr="005E34AA">
        <w:rPr>
          <w:color w:val="C00000"/>
          <w:lang w:val="en-CA"/>
        </w:rPr>
        <w:t>A.8.4.2.6</w:t>
      </w:r>
      <w:r w:rsidRPr="005E34AA">
        <w:rPr>
          <w:color w:val="C00000"/>
          <w:lang w:val="en-CA"/>
        </w:rPr>
        <w:tab/>
        <w:t>NR Inter-RAT event triggered reporting tests for FR2 without SSB time index detection when DRX is used</w:t>
      </w:r>
    </w:p>
    <w:p w14:paraId="37E60217" w14:textId="07FC3943" w:rsidR="005E34AA" w:rsidRDefault="005E34AA" w:rsidP="001A0FE3">
      <w:pPr>
        <w:pStyle w:val="ListParagraph"/>
        <w:numPr>
          <w:ilvl w:val="0"/>
          <w:numId w:val="15"/>
        </w:numPr>
        <w:rPr>
          <w:color w:val="C00000"/>
          <w:lang w:val="en-CA"/>
        </w:rPr>
      </w:pPr>
      <w:r w:rsidRPr="005E34AA">
        <w:rPr>
          <w:color w:val="C00000"/>
          <w:lang w:val="en-CA"/>
        </w:rPr>
        <w:t>A.8.4.2.7</w:t>
      </w:r>
      <w:r w:rsidRPr="005E34AA">
        <w:rPr>
          <w:color w:val="C00000"/>
          <w:lang w:val="en-CA"/>
        </w:rPr>
        <w:tab/>
        <w:t>NR Inter-RAT event triggered reporting tests for FR2 with SSB time index detection when DRX is not used</w:t>
      </w:r>
    </w:p>
    <w:p w14:paraId="722D80F9" w14:textId="3A07A46D" w:rsidR="005E34AA" w:rsidRDefault="005E34AA" w:rsidP="001A0FE3">
      <w:pPr>
        <w:pStyle w:val="ListParagraph"/>
        <w:numPr>
          <w:ilvl w:val="0"/>
          <w:numId w:val="15"/>
        </w:numPr>
        <w:rPr>
          <w:color w:val="C00000"/>
          <w:lang w:val="en-CA"/>
        </w:rPr>
      </w:pPr>
      <w:r w:rsidRPr="005E34AA">
        <w:rPr>
          <w:color w:val="C00000"/>
          <w:lang w:val="en-CA"/>
        </w:rPr>
        <w:t>A.8.4.2.8</w:t>
      </w:r>
      <w:r w:rsidRPr="005E34AA">
        <w:rPr>
          <w:color w:val="C00000"/>
          <w:lang w:val="en-CA"/>
        </w:rPr>
        <w:tab/>
        <w:t>NR Inter-RAT event triggered reporting tests for FR2 with SSB time index detection when DRX is used</w:t>
      </w:r>
    </w:p>
    <w:p w14:paraId="1BDDEAA6" w14:textId="595A5154" w:rsidR="005E34AA" w:rsidRDefault="005E34AA" w:rsidP="00BB12A1">
      <w:pPr>
        <w:ind w:left="1134" w:hanging="1134"/>
        <w:rPr>
          <w:color w:val="1F497D" w:themeColor="text2"/>
        </w:rPr>
      </w:pPr>
      <w:r w:rsidRPr="005E34AA">
        <w:rPr>
          <w:b/>
          <w:bCs/>
          <w:color w:val="17365D" w:themeColor="text2" w:themeShade="BF"/>
        </w:rPr>
        <w:t xml:space="preserve">Proposal </w:t>
      </w:r>
      <w:r w:rsidR="00C704C2">
        <w:rPr>
          <w:b/>
          <w:bCs/>
          <w:color w:val="17365D" w:themeColor="text2" w:themeShade="BF"/>
        </w:rPr>
        <w:t>12</w:t>
      </w:r>
      <w:r w:rsidRPr="005E34AA">
        <w:rPr>
          <w:b/>
          <w:bCs/>
          <w:color w:val="17365D" w:themeColor="text2" w:themeShade="BF"/>
        </w:rPr>
        <w:t xml:space="preserve">: </w:t>
      </w:r>
      <w:r w:rsidRPr="005E34AA">
        <w:rPr>
          <w:b/>
          <w:bCs/>
          <w:color w:val="17365D" w:themeColor="text2" w:themeShade="BF"/>
        </w:rPr>
        <w:tab/>
      </w:r>
      <w:r w:rsidRPr="005E34AA">
        <w:rPr>
          <w:color w:val="17365D" w:themeColor="text2" w:themeShade="BF"/>
        </w:rPr>
        <w:t>Inter-</w:t>
      </w:r>
      <w:r>
        <w:rPr>
          <w:color w:val="17365D" w:themeColor="text2" w:themeShade="BF"/>
        </w:rPr>
        <w:t>RAT</w:t>
      </w:r>
      <w:r w:rsidRPr="005E34AA">
        <w:rPr>
          <w:color w:val="17365D" w:themeColor="text2" w:themeShade="BF"/>
        </w:rPr>
        <w:t xml:space="preserve"> measurement performance test case</w:t>
      </w:r>
      <w:r>
        <w:rPr>
          <w:color w:val="17365D" w:themeColor="text2" w:themeShade="BF"/>
        </w:rPr>
        <w:t>s</w:t>
      </w:r>
      <w:r w:rsidRPr="005E34AA">
        <w:rPr>
          <w:color w:val="17365D" w:themeColor="text2" w:themeShade="BF"/>
        </w:rPr>
        <w:t xml:space="preserve"> </w:t>
      </w:r>
      <w:r w:rsidRPr="005E34AA">
        <w:rPr>
          <w:color w:val="C00000"/>
        </w:rPr>
        <w:t xml:space="preserve">A.8.4.2.5, </w:t>
      </w:r>
      <w:r w:rsidRPr="005E34AA">
        <w:rPr>
          <w:color w:val="C00000"/>
          <w:lang w:val="en-CA"/>
        </w:rPr>
        <w:t>A.8.4.2.6, A.8.4.2.7</w:t>
      </w:r>
      <w:r>
        <w:rPr>
          <w:color w:val="C00000"/>
          <w:lang w:val="en-CA"/>
        </w:rPr>
        <w:t xml:space="preserve">, and </w:t>
      </w:r>
      <w:r w:rsidRPr="005E34AA">
        <w:rPr>
          <w:color w:val="C00000"/>
          <w:lang w:val="en-CA"/>
        </w:rPr>
        <w:t>A.8.4.2.8</w:t>
      </w:r>
      <w:r>
        <w:rPr>
          <w:color w:val="C00000"/>
          <w:lang w:val="en-CA"/>
        </w:rPr>
        <w:t xml:space="preserve"> </w:t>
      </w:r>
      <w:r w:rsidRPr="009F2AB7">
        <w:rPr>
          <w:color w:val="1F497D" w:themeColor="text2"/>
        </w:rPr>
        <w:t>are updated to state that in the current version of the specification a UE does not have to pass the test.</w:t>
      </w:r>
    </w:p>
    <w:p w14:paraId="6F6474B8" w14:textId="77777777" w:rsidR="00702867" w:rsidRPr="00702867" w:rsidRDefault="00702867" w:rsidP="00702867">
      <w:pPr>
        <w:rPr>
          <w:lang w:val="en-CA"/>
        </w:rPr>
      </w:pPr>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0B09163E" w14:textId="315E8A8A" w:rsidR="00926E06" w:rsidRDefault="00D1502B" w:rsidP="00C704C2">
      <w:pPr>
        <w:rPr>
          <w:sz w:val="22"/>
          <w:lang w:val="en-CA"/>
        </w:rPr>
      </w:pPr>
      <w:r w:rsidRPr="00DF54C9">
        <w:rPr>
          <w:sz w:val="22"/>
          <w:lang w:val="en-CA"/>
        </w:rPr>
        <w:t xml:space="preserve">In this contribution </w:t>
      </w:r>
      <w:r w:rsidR="002D2B73">
        <w:rPr>
          <w:sz w:val="22"/>
          <w:lang w:val="en-CA"/>
        </w:rPr>
        <w:t xml:space="preserve">we have identified test cases that are impacted by uncertainty in performance of NR FR1 or LTE OTA link. For each of those test cases we have proposed a solution, either modifying the test case or allowing UE to skip the test case until the testability issue has been resolved. The following proposals are made:  </w:t>
      </w:r>
    </w:p>
    <w:p w14:paraId="4F07BF8D" w14:textId="3A9DED9B" w:rsidR="00C704C2" w:rsidRDefault="00C704C2" w:rsidP="00C704C2">
      <w:pPr>
        <w:spacing w:after="0"/>
        <w:ind w:left="1134" w:hanging="1134"/>
        <w:rPr>
          <w:color w:val="1F497D" w:themeColor="text2"/>
        </w:rPr>
      </w:pPr>
      <w:r w:rsidRPr="006D71B1">
        <w:rPr>
          <w:b/>
          <w:bCs/>
          <w:color w:val="1F497D" w:themeColor="text2"/>
        </w:rPr>
        <w:t xml:space="preserve">Proposal </w:t>
      </w:r>
      <w:r>
        <w:rPr>
          <w:b/>
          <w:bCs/>
          <w:color w:val="1F497D" w:themeColor="text2"/>
        </w:rPr>
        <w:t>1</w:t>
      </w:r>
      <w:r w:rsidRPr="006D71B1">
        <w:rPr>
          <w:b/>
          <w:bCs/>
          <w:color w:val="1F497D" w:themeColor="text2"/>
        </w:rPr>
        <w:t>:</w:t>
      </w:r>
      <w:r w:rsidRPr="006D71B1">
        <w:rPr>
          <w:color w:val="365F91" w:themeColor="accent1" w:themeShade="BF"/>
          <w:lang w:val="en-CA"/>
        </w:rPr>
        <w:t xml:space="preserve"> </w:t>
      </w:r>
      <w:r w:rsidRPr="006D71B1">
        <w:rPr>
          <w:color w:val="365F91" w:themeColor="accent1" w:themeShade="BF"/>
          <w:lang w:val="en-CA"/>
        </w:rPr>
        <w:tab/>
      </w:r>
      <w:r w:rsidRPr="006D71B1">
        <w:rPr>
          <w:color w:val="1F497D" w:themeColor="text2"/>
        </w:rPr>
        <w:t>Interruption test cases A.5.5.2.3, A.5.5.2.4, A.5.5.2.5 and A.5.5.2.6 are modified to only test ACK/NACK loss on NR FR2 CCs.</w:t>
      </w:r>
    </w:p>
    <w:p w14:paraId="57B1297A" w14:textId="77777777" w:rsidR="00C704C2" w:rsidRPr="006D71B1" w:rsidRDefault="00C704C2" w:rsidP="00C704C2">
      <w:pPr>
        <w:spacing w:after="0"/>
        <w:ind w:left="1134" w:hanging="1134"/>
        <w:rPr>
          <w:color w:val="365F91" w:themeColor="accent1" w:themeShade="BF"/>
          <w:lang w:val="en-CA"/>
        </w:rPr>
      </w:pPr>
    </w:p>
    <w:p w14:paraId="251429BB" w14:textId="77777777" w:rsidR="00C704C2" w:rsidRDefault="00C704C2" w:rsidP="00C704C2">
      <w:pPr>
        <w:spacing w:after="0"/>
        <w:ind w:left="1134" w:hanging="1134"/>
        <w:rPr>
          <w:color w:val="1F497D" w:themeColor="text2"/>
        </w:rPr>
      </w:pPr>
      <w:r w:rsidRPr="003F0ADE">
        <w:rPr>
          <w:b/>
          <w:bCs/>
          <w:color w:val="1F497D" w:themeColor="text2"/>
        </w:rPr>
        <w:t xml:space="preserve">Proposal </w:t>
      </w:r>
      <w:r>
        <w:rPr>
          <w:b/>
          <w:bCs/>
          <w:color w:val="1F497D" w:themeColor="text2"/>
        </w:rPr>
        <w:t>2</w:t>
      </w:r>
      <w:r w:rsidRPr="003F0ADE">
        <w:rPr>
          <w:b/>
          <w:bCs/>
          <w:color w:val="1F497D" w:themeColor="text2"/>
        </w:rPr>
        <w:t xml:space="preserve">: </w:t>
      </w:r>
      <w:r>
        <w:rPr>
          <w:b/>
          <w:bCs/>
          <w:color w:val="1F497D" w:themeColor="text2"/>
        </w:rPr>
        <w:tab/>
      </w:r>
      <w:r w:rsidRPr="003F0ADE">
        <w:rPr>
          <w:color w:val="1F497D" w:themeColor="text2"/>
        </w:rPr>
        <w:t>SCell activation and deactivation test case A.5.5.3.1</w:t>
      </w:r>
      <w:r>
        <w:rPr>
          <w:color w:val="1F497D" w:themeColor="text2"/>
        </w:rPr>
        <w:t xml:space="preserve"> is updated to specify that UE receives RRC reconfiguration message for adding or releasing SCell from SN via signalling on SRB3.</w:t>
      </w:r>
    </w:p>
    <w:p w14:paraId="1191AF59" w14:textId="77777777" w:rsidR="00C704C2" w:rsidRDefault="00C704C2" w:rsidP="00C704C2">
      <w:pPr>
        <w:spacing w:after="0"/>
        <w:ind w:left="1134" w:hanging="1134"/>
        <w:rPr>
          <w:color w:val="1F497D" w:themeColor="text2"/>
        </w:rPr>
      </w:pPr>
    </w:p>
    <w:p w14:paraId="1D009697" w14:textId="77777777" w:rsidR="00C704C2" w:rsidRDefault="00C704C2" w:rsidP="00C704C2">
      <w:pPr>
        <w:spacing w:after="0"/>
        <w:ind w:left="1134" w:hanging="1134"/>
        <w:rPr>
          <w:color w:val="1F497D" w:themeColor="text2"/>
        </w:rPr>
      </w:pPr>
      <w:r w:rsidRPr="003F0ADE">
        <w:rPr>
          <w:b/>
          <w:bCs/>
          <w:color w:val="1F497D" w:themeColor="text2"/>
        </w:rPr>
        <w:t xml:space="preserve">Proposal </w:t>
      </w:r>
      <w:r>
        <w:rPr>
          <w:b/>
          <w:bCs/>
          <w:color w:val="1F497D" w:themeColor="text2"/>
        </w:rPr>
        <w:t>3</w:t>
      </w:r>
      <w:r w:rsidRPr="003F0ADE">
        <w:rPr>
          <w:b/>
          <w:bCs/>
          <w:color w:val="1F497D" w:themeColor="text2"/>
        </w:rPr>
        <w:t xml:space="preserve">: </w:t>
      </w:r>
      <w:r>
        <w:rPr>
          <w:b/>
          <w:bCs/>
          <w:color w:val="1F497D" w:themeColor="text2"/>
        </w:rPr>
        <w:tab/>
      </w:r>
      <w:r w:rsidRPr="003F0ADE">
        <w:rPr>
          <w:color w:val="1F497D" w:themeColor="text2"/>
        </w:rPr>
        <w:t>SCell activation and deactivation test case</w:t>
      </w:r>
      <w:r>
        <w:rPr>
          <w:color w:val="1F497D" w:themeColor="text2"/>
        </w:rPr>
        <w:t>s</w:t>
      </w:r>
      <w:r w:rsidRPr="003F0ADE">
        <w:rPr>
          <w:color w:val="1F497D" w:themeColor="text2"/>
        </w:rPr>
        <w:t xml:space="preserve"> </w:t>
      </w:r>
      <w:r w:rsidRPr="00FC2AA5">
        <w:rPr>
          <w:color w:val="C00000"/>
        </w:rPr>
        <w:t xml:space="preserve">A.5.5.3.2 and A.5.5.3.5 </w:t>
      </w:r>
      <w:r>
        <w:rPr>
          <w:color w:val="1F497D" w:themeColor="text2"/>
        </w:rPr>
        <w:t>are updated to state that in the current version of the specification a UE does not have to pass the test.</w:t>
      </w:r>
    </w:p>
    <w:p w14:paraId="255EF258" w14:textId="041B3BA5" w:rsidR="00C704C2" w:rsidRDefault="00C704C2" w:rsidP="00C704C2">
      <w:pPr>
        <w:spacing w:after="0"/>
        <w:rPr>
          <w:color w:val="1F497D" w:themeColor="text2"/>
          <w:sz w:val="22"/>
          <w:szCs w:val="22"/>
        </w:rPr>
      </w:pPr>
    </w:p>
    <w:p w14:paraId="5E948963" w14:textId="77777777" w:rsidR="00C704C2" w:rsidRDefault="00C704C2" w:rsidP="00C704C2">
      <w:pPr>
        <w:spacing w:after="0"/>
        <w:ind w:left="1134" w:hanging="1134"/>
        <w:rPr>
          <w:color w:val="1F497D" w:themeColor="text2"/>
        </w:rPr>
      </w:pPr>
      <w:r w:rsidRPr="003F0ADE">
        <w:rPr>
          <w:b/>
          <w:bCs/>
          <w:color w:val="1F497D" w:themeColor="text2"/>
        </w:rPr>
        <w:t xml:space="preserve">Proposal </w:t>
      </w:r>
      <w:r>
        <w:rPr>
          <w:b/>
          <w:bCs/>
          <w:color w:val="1F497D" w:themeColor="text2"/>
        </w:rPr>
        <w:t>4</w:t>
      </w:r>
      <w:r w:rsidRPr="003F0ADE">
        <w:rPr>
          <w:b/>
          <w:bCs/>
          <w:color w:val="1F497D" w:themeColor="text2"/>
        </w:rPr>
        <w:t xml:space="preserve">: </w:t>
      </w:r>
      <w:r>
        <w:rPr>
          <w:b/>
          <w:bCs/>
          <w:color w:val="1F497D" w:themeColor="text2"/>
        </w:rPr>
        <w:tab/>
      </w:r>
      <w:r>
        <w:rPr>
          <w:color w:val="1F497D" w:themeColor="text2"/>
        </w:rPr>
        <w:t xml:space="preserve">Active BWP switch test cases </w:t>
      </w:r>
      <w:r w:rsidRPr="00B34319">
        <w:rPr>
          <w:color w:val="1F497D" w:themeColor="text2"/>
        </w:rPr>
        <w:t>A.5.5.6.1.1</w:t>
      </w:r>
      <w:r>
        <w:rPr>
          <w:color w:val="1F497D" w:themeColor="text2"/>
        </w:rPr>
        <w:t xml:space="preserve"> and </w:t>
      </w:r>
      <w:r w:rsidRPr="00B34319">
        <w:rPr>
          <w:color w:val="1F497D" w:themeColor="text2"/>
        </w:rPr>
        <w:t>A.5.5.6.1.2</w:t>
      </w:r>
      <w:r>
        <w:rPr>
          <w:color w:val="1F497D" w:themeColor="text2"/>
        </w:rPr>
        <w:t xml:space="preserve"> are</w:t>
      </w:r>
      <w:r w:rsidRPr="003F0ADE">
        <w:rPr>
          <w:color w:val="365F91" w:themeColor="accent1" w:themeShade="BF"/>
          <w:lang w:val="en-CA"/>
        </w:rPr>
        <w:t xml:space="preserve"> modified to only test ACK/NACK loss on NR FR2 CC</w:t>
      </w:r>
      <w:r>
        <w:rPr>
          <w:color w:val="365F91" w:themeColor="accent1" w:themeShade="BF"/>
          <w:lang w:val="en-CA"/>
        </w:rPr>
        <w:t>(</w:t>
      </w:r>
      <w:r w:rsidRPr="003F0ADE">
        <w:rPr>
          <w:color w:val="365F91" w:themeColor="accent1" w:themeShade="BF"/>
          <w:lang w:val="en-CA"/>
        </w:rPr>
        <w:t>s</w:t>
      </w:r>
      <w:r>
        <w:rPr>
          <w:color w:val="365F91" w:themeColor="accent1" w:themeShade="BF"/>
          <w:lang w:val="en-CA"/>
        </w:rPr>
        <w:t>)</w:t>
      </w:r>
      <w:r w:rsidRPr="003F0ADE">
        <w:rPr>
          <w:color w:val="365F91" w:themeColor="accent1" w:themeShade="BF"/>
          <w:lang w:val="en-CA"/>
        </w:rPr>
        <w:t>.</w:t>
      </w:r>
    </w:p>
    <w:p w14:paraId="0367824C" w14:textId="77777777" w:rsidR="00C704C2" w:rsidRDefault="00C704C2" w:rsidP="00C704C2">
      <w:pPr>
        <w:spacing w:after="0"/>
        <w:ind w:left="1134" w:hanging="1134"/>
        <w:rPr>
          <w:color w:val="1F497D" w:themeColor="text2"/>
        </w:rPr>
      </w:pPr>
    </w:p>
    <w:p w14:paraId="34FE3D3B" w14:textId="1D44EA7D" w:rsidR="00C704C2" w:rsidRDefault="00C704C2" w:rsidP="00C704C2">
      <w:pPr>
        <w:spacing w:after="0"/>
        <w:ind w:left="1134" w:hanging="1134"/>
        <w:rPr>
          <w:color w:val="1F497D" w:themeColor="text2"/>
        </w:rPr>
      </w:pPr>
      <w:r w:rsidRPr="003F0ADE">
        <w:rPr>
          <w:b/>
          <w:bCs/>
          <w:color w:val="1F497D" w:themeColor="text2"/>
        </w:rPr>
        <w:t xml:space="preserve">Proposal </w:t>
      </w:r>
      <w:r>
        <w:rPr>
          <w:b/>
          <w:bCs/>
          <w:color w:val="1F497D" w:themeColor="text2"/>
        </w:rPr>
        <w:t>5</w:t>
      </w:r>
      <w:r w:rsidRPr="003F0ADE">
        <w:rPr>
          <w:b/>
          <w:bCs/>
          <w:color w:val="1F497D" w:themeColor="text2"/>
        </w:rPr>
        <w:t xml:space="preserve">: </w:t>
      </w:r>
      <w:r>
        <w:rPr>
          <w:b/>
          <w:bCs/>
          <w:color w:val="1F497D" w:themeColor="text2"/>
        </w:rPr>
        <w:tab/>
      </w:r>
      <w:r>
        <w:rPr>
          <w:color w:val="1F497D" w:themeColor="text2"/>
        </w:rPr>
        <w:t xml:space="preserve">Active BWP switch test case </w:t>
      </w:r>
      <w:r w:rsidRPr="00854CB5">
        <w:rPr>
          <w:color w:val="1F497D" w:themeColor="text2"/>
        </w:rPr>
        <w:t xml:space="preserve">A.5.5.6.2.1 </w:t>
      </w:r>
      <w:r>
        <w:rPr>
          <w:color w:val="1F497D" w:themeColor="text2"/>
        </w:rPr>
        <w:t>is updated to specify that UE receives RRC reconfiguration for active BWP switching from SN via signalling on SRB3.</w:t>
      </w:r>
    </w:p>
    <w:p w14:paraId="77E46C76" w14:textId="77777777" w:rsidR="00C704C2" w:rsidRDefault="00C704C2" w:rsidP="00C704C2">
      <w:pPr>
        <w:spacing w:after="0"/>
        <w:ind w:left="1134" w:hanging="1134"/>
        <w:rPr>
          <w:color w:val="1F497D" w:themeColor="text2"/>
        </w:rPr>
      </w:pPr>
    </w:p>
    <w:p w14:paraId="043C6D97" w14:textId="77777777" w:rsidR="00C704C2" w:rsidRDefault="00C704C2" w:rsidP="00C704C2">
      <w:pPr>
        <w:ind w:left="1134" w:hanging="1134"/>
        <w:rPr>
          <w:color w:val="365F91" w:themeColor="accent1" w:themeShade="BF"/>
          <w:lang w:val="en-US"/>
        </w:rPr>
      </w:pPr>
      <w:r w:rsidRPr="00FF1DA4">
        <w:rPr>
          <w:b/>
          <w:bCs/>
          <w:color w:val="365F91" w:themeColor="accent1" w:themeShade="BF"/>
          <w:lang w:val="en-US"/>
        </w:rPr>
        <w:t xml:space="preserve">Proposal </w:t>
      </w:r>
      <w:r>
        <w:rPr>
          <w:b/>
          <w:bCs/>
          <w:color w:val="365F91" w:themeColor="accent1" w:themeShade="BF"/>
          <w:lang w:val="en-US"/>
        </w:rPr>
        <w:t>6</w:t>
      </w:r>
      <w:r w:rsidRPr="00FF1DA4">
        <w:rPr>
          <w:b/>
          <w:bCs/>
          <w:color w:val="365F91" w:themeColor="accent1" w:themeShade="BF"/>
          <w:lang w:val="en-US"/>
        </w:rPr>
        <w:t>:</w:t>
      </w:r>
      <w:r>
        <w:rPr>
          <w:color w:val="365F91" w:themeColor="accent1" w:themeShade="BF"/>
          <w:lang w:val="en-US"/>
        </w:rPr>
        <w:tab/>
        <w:t xml:space="preserve">Handover test case </w:t>
      </w:r>
      <w:r w:rsidRPr="00FF1DA4">
        <w:rPr>
          <w:color w:val="365F91" w:themeColor="accent1" w:themeShade="BF"/>
          <w:lang w:val="en-US"/>
        </w:rPr>
        <w:t>A.7.3.1.</w:t>
      </w:r>
      <w:r>
        <w:rPr>
          <w:color w:val="365F91" w:themeColor="accent1" w:themeShade="BF"/>
          <w:lang w:val="en-US"/>
        </w:rPr>
        <w:t>1 shall be modified such that the handover delay as well as the power ramping for detectable target PCell is starting from the point in time when the UE has acknowledged the last TTI carrying the RRC reconfiguration message.</w:t>
      </w:r>
    </w:p>
    <w:p w14:paraId="5DAB5EA1" w14:textId="428133CA" w:rsidR="00C704C2" w:rsidRDefault="00C704C2" w:rsidP="00C704C2">
      <w:pPr>
        <w:spacing w:after="0"/>
        <w:ind w:left="1134" w:hanging="1134"/>
        <w:rPr>
          <w:color w:val="9BBB59" w:themeColor="accent3"/>
        </w:rPr>
      </w:pPr>
      <w:r w:rsidRPr="00D853A5">
        <w:rPr>
          <w:b/>
          <w:bCs/>
          <w:color w:val="1F497D" w:themeColor="text2"/>
        </w:rPr>
        <w:t xml:space="preserve">Proposal </w:t>
      </w:r>
      <w:r>
        <w:rPr>
          <w:b/>
          <w:bCs/>
          <w:color w:val="1F497D" w:themeColor="text2"/>
        </w:rPr>
        <w:t>7</w:t>
      </w:r>
      <w:r w:rsidRPr="00D853A5">
        <w:rPr>
          <w:b/>
          <w:bCs/>
          <w:color w:val="1F497D" w:themeColor="text2"/>
        </w:rPr>
        <w:t xml:space="preserve">: </w:t>
      </w:r>
      <w:r w:rsidRPr="00D853A5">
        <w:rPr>
          <w:b/>
          <w:bCs/>
          <w:color w:val="1F497D" w:themeColor="text2"/>
        </w:rPr>
        <w:tab/>
      </w:r>
      <w:r w:rsidRPr="00D853A5">
        <w:rPr>
          <w:color w:val="1F497D" w:themeColor="text2"/>
        </w:rPr>
        <w:t xml:space="preserve">SCell activation and deactivation test case </w:t>
      </w:r>
      <w:r w:rsidRPr="00D853A5">
        <w:rPr>
          <w:color w:val="C00000"/>
        </w:rPr>
        <w:t>A.</w:t>
      </w:r>
      <w:r>
        <w:rPr>
          <w:color w:val="C00000"/>
        </w:rPr>
        <w:t>7</w:t>
      </w:r>
      <w:r w:rsidRPr="00D853A5">
        <w:rPr>
          <w:color w:val="C00000"/>
        </w:rPr>
        <w:t xml:space="preserve">.5.3.2 </w:t>
      </w:r>
      <w:r w:rsidRPr="00D853A5">
        <w:rPr>
          <w:color w:val="365F91" w:themeColor="accent1" w:themeShade="BF"/>
        </w:rPr>
        <w:t xml:space="preserve">is updated </w:t>
      </w:r>
      <w:r w:rsidRPr="00D853A5">
        <w:rPr>
          <w:color w:val="1F497D" w:themeColor="text2"/>
        </w:rPr>
        <w:t>to state that in the current version of the specification a UE does not have to pass the test.</w:t>
      </w:r>
    </w:p>
    <w:p w14:paraId="2FA20CAC" w14:textId="77777777" w:rsidR="00C704C2" w:rsidRPr="00D853A5" w:rsidRDefault="00C704C2" w:rsidP="00C704C2">
      <w:pPr>
        <w:spacing w:after="0"/>
        <w:ind w:left="1134" w:hanging="1134"/>
        <w:rPr>
          <w:color w:val="9BBB59" w:themeColor="accent3"/>
        </w:rPr>
      </w:pPr>
    </w:p>
    <w:p w14:paraId="28549425" w14:textId="7218C876" w:rsidR="00C704C2" w:rsidRDefault="00C704C2" w:rsidP="00C704C2">
      <w:pPr>
        <w:spacing w:after="0"/>
        <w:ind w:left="1134" w:hanging="1134"/>
        <w:rPr>
          <w:color w:val="1F497D" w:themeColor="text2"/>
        </w:rPr>
      </w:pPr>
      <w:r w:rsidRPr="00F61334">
        <w:rPr>
          <w:b/>
          <w:bCs/>
          <w:color w:val="1F497D" w:themeColor="text2"/>
        </w:rPr>
        <w:t xml:space="preserve">Proposal </w:t>
      </w:r>
      <w:r>
        <w:rPr>
          <w:b/>
          <w:bCs/>
          <w:color w:val="1F497D" w:themeColor="text2"/>
        </w:rPr>
        <w:t>8</w:t>
      </w:r>
      <w:r w:rsidRPr="00F61334">
        <w:rPr>
          <w:b/>
          <w:bCs/>
          <w:color w:val="1F497D" w:themeColor="text2"/>
        </w:rPr>
        <w:t xml:space="preserve">: </w:t>
      </w:r>
      <w:r>
        <w:rPr>
          <w:b/>
          <w:bCs/>
          <w:color w:val="1F497D" w:themeColor="text2"/>
        </w:rPr>
        <w:tab/>
      </w:r>
      <w:r w:rsidRPr="00F61334">
        <w:rPr>
          <w:color w:val="1F497D" w:themeColor="text2"/>
        </w:rPr>
        <w:t xml:space="preserve">Active BWP switch test case </w:t>
      </w:r>
      <w:r w:rsidRPr="00F61334">
        <w:rPr>
          <w:color w:val="C00000"/>
        </w:rPr>
        <w:t>A.7.5.6.1.2</w:t>
      </w:r>
      <w:r>
        <w:rPr>
          <w:color w:val="C00000"/>
        </w:rPr>
        <w:t xml:space="preserve"> </w:t>
      </w:r>
      <w:r w:rsidRPr="00F61334">
        <w:rPr>
          <w:color w:val="365F91" w:themeColor="accent1" w:themeShade="BF"/>
        </w:rPr>
        <w:t xml:space="preserve">is updated </w:t>
      </w:r>
      <w:r w:rsidRPr="00F61334">
        <w:rPr>
          <w:color w:val="1F497D" w:themeColor="text2"/>
        </w:rPr>
        <w:t>to state that in the current version of the specification a UE does not have to pass the test.</w:t>
      </w:r>
    </w:p>
    <w:p w14:paraId="3BCF5340" w14:textId="77777777" w:rsidR="00C704C2" w:rsidRPr="00F61334" w:rsidRDefault="00C704C2" w:rsidP="00C704C2">
      <w:pPr>
        <w:spacing w:after="0"/>
        <w:ind w:left="1134" w:hanging="1134"/>
        <w:rPr>
          <w:color w:val="9BBB59" w:themeColor="accent3"/>
        </w:rPr>
      </w:pPr>
    </w:p>
    <w:p w14:paraId="2D8C1545" w14:textId="77777777" w:rsidR="00C704C2" w:rsidRDefault="00C704C2" w:rsidP="00C704C2">
      <w:pPr>
        <w:ind w:left="1134" w:hanging="1134"/>
        <w:rPr>
          <w:color w:val="365F91" w:themeColor="accent1" w:themeShade="BF"/>
        </w:rPr>
      </w:pPr>
      <w:r w:rsidRPr="009F774E">
        <w:rPr>
          <w:b/>
          <w:bCs/>
          <w:color w:val="365F91" w:themeColor="accent1" w:themeShade="BF"/>
        </w:rPr>
        <w:t xml:space="preserve">Proposal </w:t>
      </w:r>
      <w:r>
        <w:rPr>
          <w:b/>
          <w:bCs/>
          <w:color w:val="365F91" w:themeColor="accent1" w:themeShade="BF"/>
        </w:rPr>
        <w:t>9</w:t>
      </w:r>
      <w:r w:rsidRPr="009F774E">
        <w:rPr>
          <w:b/>
          <w:bCs/>
          <w:color w:val="365F91" w:themeColor="accent1" w:themeShade="BF"/>
        </w:rPr>
        <w:t>:</w:t>
      </w:r>
      <w:r w:rsidRPr="009F774E">
        <w:rPr>
          <w:color w:val="365F91" w:themeColor="accent1" w:themeShade="BF"/>
        </w:rPr>
        <w:t xml:space="preserve"> </w:t>
      </w:r>
      <w:r w:rsidRPr="009F774E">
        <w:rPr>
          <w:color w:val="365F91" w:themeColor="accent1" w:themeShade="BF"/>
        </w:rPr>
        <w:tab/>
        <w:t>PSCell addition and release test cases A.7.5.7.1 and A.7.5.7.2 are modified to only test the time between UE provides ACK on RRC message in NR FR1 PCell untill PRACH is carried out in NR FR2 PSCell.</w:t>
      </w:r>
    </w:p>
    <w:p w14:paraId="23CBDAC5" w14:textId="2941E78C" w:rsidR="00C704C2" w:rsidRDefault="00C704C2" w:rsidP="00E56FE9">
      <w:pPr>
        <w:spacing w:after="0"/>
        <w:ind w:left="1134" w:hanging="1134"/>
        <w:rPr>
          <w:color w:val="1F497D" w:themeColor="text2"/>
        </w:rPr>
      </w:pPr>
      <w:r w:rsidRPr="009F2AB7">
        <w:rPr>
          <w:b/>
          <w:bCs/>
          <w:color w:val="1F497D" w:themeColor="text2"/>
        </w:rPr>
        <w:t xml:space="preserve">Proposal </w:t>
      </w:r>
      <w:r>
        <w:rPr>
          <w:b/>
          <w:bCs/>
          <w:color w:val="1F497D" w:themeColor="text2"/>
        </w:rPr>
        <w:t>10</w:t>
      </w:r>
      <w:r w:rsidRPr="009F2AB7">
        <w:rPr>
          <w:b/>
          <w:bCs/>
          <w:color w:val="1F497D" w:themeColor="text2"/>
        </w:rPr>
        <w:t xml:space="preserve">: </w:t>
      </w:r>
      <w:r w:rsidRPr="009F2AB7">
        <w:rPr>
          <w:b/>
          <w:bCs/>
          <w:color w:val="1F497D" w:themeColor="text2"/>
        </w:rPr>
        <w:tab/>
      </w:r>
      <w:r w:rsidRPr="009F2AB7">
        <w:rPr>
          <w:color w:val="1F497D" w:themeColor="text2"/>
        </w:rPr>
        <w:t>Inter-frequency measurement procedure test cases</w:t>
      </w:r>
      <w:r>
        <w:rPr>
          <w:color w:val="1F497D" w:themeColor="text2"/>
        </w:rPr>
        <w:t xml:space="preserve"> </w:t>
      </w:r>
      <w:r w:rsidRPr="009F2AB7">
        <w:rPr>
          <w:color w:val="C00000"/>
        </w:rPr>
        <w:t xml:space="preserve">A.7.6.2.5, A.7.6.2.6, A.7.6.2.7, and A.7.6.2.8 </w:t>
      </w:r>
      <w:r w:rsidRPr="009F2AB7">
        <w:rPr>
          <w:color w:val="1F497D" w:themeColor="text2"/>
        </w:rPr>
        <w:t>are updated to state that in the current version of the specification a UE does not have to pass the test.</w:t>
      </w:r>
    </w:p>
    <w:p w14:paraId="605C9D9B" w14:textId="77777777" w:rsidR="00E56FE9" w:rsidRPr="00E56FE9" w:rsidRDefault="00E56FE9" w:rsidP="00E56FE9">
      <w:pPr>
        <w:spacing w:after="0"/>
        <w:ind w:left="1134" w:hanging="1134"/>
        <w:rPr>
          <w:color w:val="1F497D" w:themeColor="text2"/>
        </w:rPr>
      </w:pPr>
    </w:p>
    <w:p w14:paraId="29D7BA93" w14:textId="77777777" w:rsidR="00C704C2" w:rsidRPr="00506496" w:rsidRDefault="00C704C2" w:rsidP="00C704C2">
      <w:pPr>
        <w:ind w:left="1134" w:hanging="1134"/>
        <w:rPr>
          <w:color w:val="365F91" w:themeColor="accent1" w:themeShade="BF"/>
        </w:rPr>
      </w:pPr>
      <w:r w:rsidRPr="00506496">
        <w:rPr>
          <w:b/>
          <w:bCs/>
          <w:color w:val="365F91" w:themeColor="accent1" w:themeShade="BF"/>
        </w:rPr>
        <w:t xml:space="preserve">Proposal 11: </w:t>
      </w:r>
      <w:r w:rsidRPr="00506496">
        <w:rPr>
          <w:b/>
          <w:bCs/>
          <w:color w:val="365F91" w:themeColor="accent1" w:themeShade="BF"/>
        </w:rPr>
        <w:tab/>
      </w:r>
      <w:r w:rsidRPr="00506496">
        <w:rPr>
          <w:color w:val="365F91" w:themeColor="accent1" w:themeShade="BF"/>
        </w:rPr>
        <w:t>Inter-frequency measurement performance test case A.7.7.1.3 is modified to only test absolute measurement accuracy on NR FR2 carrier.</w:t>
      </w:r>
    </w:p>
    <w:p w14:paraId="02C675A5" w14:textId="77777777" w:rsidR="00C704C2" w:rsidRPr="005E34AA" w:rsidRDefault="00C704C2" w:rsidP="00C704C2">
      <w:pPr>
        <w:ind w:left="1134" w:hanging="1134"/>
        <w:rPr>
          <w:color w:val="17365D" w:themeColor="text2" w:themeShade="BF"/>
        </w:rPr>
      </w:pPr>
      <w:r w:rsidRPr="00506496">
        <w:rPr>
          <w:b/>
          <w:bCs/>
          <w:color w:val="365F91" w:themeColor="accent1" w:themeShade="BF"/>
        </w:rPr>
        <w:t xml:space="preserve">Proposal 12: </w:t>
      </w:r>
      <w:r w:rsidRPr="00506496">
        <w:rPr>
          <w:b/>
          <w:bCs/>
          <w:color w:val="365F91" w:themeColor="accent1" w:themeShade="BF"/>
        </w:rPr>
        <w:tab/>
      </w:r>
      <w:r w:rsidRPr="00506496">
        <w:rPr>
          <w:color w:val="365F91" w:themeColor="accent1" w:themeShade="BF"/>
        </w:rPr>
        <w:t xml:space="preserve">Inter-RAT measurement performance test cases </w:t>
      </w:r>
      <w:r w:rsidRPr="005E34AA">
        <w:rPr>
          <w:color w:val="C00000"/>
        </w:rPr>
        <w:t xml:space="preserve">A.8.4.2.5, </w:t>
      </w:r>
      <w:r w:rsidRPr="005E34AA">
        <w:rPr>
          <w:color w:val="C00000"/>
          <w:lang w:val="en-CA"/>
        </w:rPr>
        <w:t>A.8.4.2.6, A.8.4.2.7</w:t>
      </w:r>
      <w:r>
        <w:rPr>
          <w:color w:val="C00000"/>
          <w:lang w:val="en-CA"/>
        </w:rPr>
        <w:t xml:space="preserve">, and </w:t>
      </w:r>
      <w:r w:rsidRPr="005E34AA">
        <w:rPr>
          <w:color w:val="C00000"/>
          <w:lang w:val="en-CA"/>
        </w:rPr>
        <w:t>A.8.4.2.8</w:t>
      </w:r>
      <w:r>
        <w:rPr>
          <w:color w:val="C00000"/>
          <w:lang w:val="en-CA"/>
        </w:rPr>
        <w:t xml:space="preserve"> </w:t>
      </w:r>
      <w:r w:rsidRPr="009F2AB7">
        <w:rPr>
          <w:color w:val="1F497D" w:themeColor="text2"/>
        </w:rPr>
        <w:t>are updated to state that in the current version of the specification a UE does not have to pass the test.</w:t>
      </w:r>
    </w:p>
    <w:p w14:paraId="561FFBC1" w14:textId="01006E7B" w:rsidR="00FC3694" w:rsidRPr="00C704C2" w:rsidRDefault="00506496" w:rsidP="00380233">
      <w:pPr>
        <w:spacing w:after="0"/>
        <w:rPr>
          <w:rFonts w:eastAsia="Times New Roman"/>
          <w:color w:val="1F497D" w:themeColor="text2"/>
          <w:sz w:val="22"/>
          <w:szCs w:val="22"/>
          <w:lang w:eastAsia="ko-KR"/>
        </w:rPr>
      </w:pPr>
      <w:r w:rsidRPr="00506496">
        <w:rPr>
          <w:rFonts w:eastAsia="Times New Roman"/>
          <w:sz w:val="22"/>
          <w:szCs w:val="22"/>
          <w:lang w:eastAsia="ko-KR"/>
        </w:rPr>
        <w:t xml:space="preserve">A DraftCR covering </w:t>
      </w:r>
      <w:r w:rsidR="00E56FE9">
        <w:rPr>
          <w:rFonts w:eastAsia="Times New Roman"/>
          <w:sz w:val="22"/>
          <w:szCs w:val="22"/>
          <w:lang w:eastAsia="ko-KR"/>
        </w:rPr>
        <w:t xml:space="preserve">test case applicability rules based on </w:t>
      </w:r>
      <w:r w:rsidRPr="00506496">
        <w:rPr>
          <w:rFonts w:eastAsia="Times New Roman"/>
          <w:sz w:val="22"/>
          <w:szCs w:val="22"/>
          <w:lang w:eastAsia="ko-KR"/>
        </w:rPr>
        <w:t>P1 – P5, P7 – P8, P10</w:t>
      </w:r>
      <w:r w:rsidR="00E56FE9">
        <w:rPr>
          <w:rFonts w:eastAsia="Times New Roman"/>
          <w:sz w:val="22"/>
          <w:szCs w:val="22"/>
          <w:lang w:eastAsia="ko-KR"/>
        </w:rPr>
        <w:t xml:space="preserve"> – </w:t>
      </w:r>
      <w:r w:rsidRPr="00506496">
        <w:rPr>
          <w:rFonts w:eastAsia="Times New Roman"/>
          <w:sz w:val="22"/>
          <w:szCs w:val="22"/>
          <w:lang w:eastAsia="ko-KR"/>
        </w:rPr>
        <w:t xml:space="preserve">P12 is provided in </w:t>
      </w:r>
      <w:r>
        <w:rPr>
          <w:rFonts w:eastAsia="Times New Roman"/>
          <w:sz w:val="22"/>
          <w:szCs w:val="22"/>
          <w:lang w:eastAsia="ko-KR"/>
        </w:rPr>
        <w:fldChar w:fldCharType="begin"/>
      </w:r>
      <w:r>
        <w:rPr>
          <w:rFonts w:eastAsia="Times New Roman"/>
          <w:sz w:val="22"/>
          <w:szCs w:val="22"/>
          <w:lang w:eastAsia="ko-KR"/>
        </w:rPr>
        <w:instrText xml:space="preserve"> REF _Ref79162139 \r \h </w:instrText>
      </w:r>
      <w:r>
        <w:rPr>
          <w:rFonts w:eastAsia="Times New Roman"/>
          <w:sz w:val="22"/>
          <w:szCs w:val="22"/>
          <w:lang w:eastAsia="ko-KR"/>
        </w:rPr>
      </w:r>
      <w:r>
        <w:rPr>
          <w:rFonts w:eastAsia="Times New Roman"/>
          <w:sz w:val="22"/>
          <w:szCs w:val="22"/>
          <w:lang w:eastAsia="ko-KR"/>
        </w:rPr>
        <w:fldChar w:fldCharType="separate"/>
      </w:r>
      <w:r>
        <w:rPr>
          <w:rFonts w:eastAsia="Times New Roman"/>
          <w:sz w:val="22"/>
          <w:szCs w:val="22"/>
          <w:lang w:eastAsia="ko-KR"/>
        </w:rPr>
        <w:t>[2]</w:t>
      </w:r>
      <w:r>
        <w:rPr>
          <w:rFonts w:eastAsia="Times New Roman"/>
          <w:sz w:val="22"/>
          <w:szCs w:val="22"/>
          <w:lang w:eastAsia="ko-KR"/>
        </w:rPr>
        <w:fldChar w:fldCharType="end"/>
      </w:r>
      <w:r w:rsidR="007E489B">
        <w:rPr>
          <w:rFonts w:eastAsia="Times New Roman"/>
          <w:sz w:val="22"/>
          <w:szCs w:val="22"/>
          <w:lang w:eastAsia="ko-KR"/>
        </w:rPr>
        <w:t xml:space="preserve">, and reproduced below in Appendix. </w:t>
      </w:r>
      <w:r w:rsidR="00380233">
        <w:rPr>
          <w:rFonts w:eastAsia="Times New Roman"/>
          <w:sz w:val="22"/>
          <w:szCs w:val="22"/>
          <w:lang w:eastAsia="ko-KR"/>
        </w:rPr>
        <w:t>Concerning P6 and P9, corresponding changes to the test cases can be carried out after agreements have been reached.</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24223DCE" w14:textId="0B4F5395" w:rsidR="00154EEB" w:rsidRDefault="00D01C26" w:rsidP="002D2B73">
      <w:pPr>
        <w:numPr>
          <w:ilvl w:val="0"/>
          <w:numId w:val="9"/>
        </w:numPr>
        <w:tabs>
          <w:tab w:val="left" w:pos="851"/>
        </w:tabs>
        <w:rPr>
          <w:rFonts w:ascii="Arial" w:hAnsi="Arial" w:cs="Arial"/>
          <w:sz w:val="22"/>
          <w:szCs w:val="22"/>
          <w:lang w:val="en-CA"/>
        </w:rPr>
      </w:pPr>
      <w:bookmarkStart w:id="6" w:name="_Ref61004649"/>
      <w:bookmarkStart w:id="7" w:name="_Ref71528473"/>
      <w:bookmarkStart w:id="8" w:name="_Ref78527252"/>
      <w:bookmarkEnd w:id="3"/>
      <w:bookmarkEnd w:id="4"/>
      <w:bookmarkEnd w:id="5"/>
      <w:r>
        <w:rPr>
          <w:rFonts w:ascii="Arial" w:hAnsi="Arial" w:cs="Arial"/>
          <w:sz w:val="22"/>
          <w:szCs w:val="22"/>
          <w:lang w:val="en-CA"/>
        </w:rPr>
        <w:t>R</w:t>
      </w:r>
      <w:r w:rsidR="00CD0880">
        <w:rPr>
          <w:rFonts w:ascii="Arial" w:hAnsi="Arial" w:cs="Arial"/>
          <w:sz w:val="22"/>
          <w:szCs w:val="22"/>
          <w:lang w:val="en-CA"/>
        </w:rPr>
        <w:t>4-</w:t>
      </w:r>
      <w:r w:rsidR="00154EEB">
        <w:rPr>
          <w:rFonts w:ascii="Arial" w:hAnsi="Arial" w:cs="Arial"/>
          <w:sz w:val="22"/>
          <w:szCs w:val="22"/>
          <w:lang w:val="en-CA"/>
        </w:rPr>
        <w:t xml:space="preserve">2108038 </w:t>
      </w:r>
      <w:r>
        <w:rPr>
          <w:rFonts w:ascii="Arial" w:hAnsi="Arial" w:cs="Arial"/>
          <w:sz w:val="22"/>
          <w:szCs w:val="22"/>
          <w:lang w:val="en-CA"/>
        </w:rPr>
        <w:t>“</w:t>
      </w:r>
      <w:bookmarkEnd w:id="6"/>
      <w:bookmarkEnd w:id="7"/>
      <w:r w:rsidR="00154EEB" w:rsidRPr="00154EEB">
        <w:rPr>
          <w:rFonts w:ascii="Arial" w:hAnsi="Arial" w:cs="Arial"/>
          <w:sz w:val="22"/>
          <w:szCs w:val="22"/>
          <w:lang w:val="en-CA"/>
        </w:rPr>
        <w:t>WF on RRM test case related issues</w:t>
      </w:r>
      <w:r w:rsidR="00CD0880">
        <w:rPr>
          <w:rFonts w:ascii="Arial" w:hAnsi="Arial" w:cs="Arial"/>
          <w:sz w:val="22"/>
          <w:szCs w:val="22"/>
          <w:lang w:val="en-CA"/>
        </w:rPr>
        <w:t>”</w:t>
      </w:r>
      <w:r w:rsidR="00154EEB">
        <w:rPr>
          <w:rFonts w:ascii="Arial" w:hAnsi="Arial" w:cs="Arial"/>
          <w:sz w:val="22"/>
          <w:szCs w:val="22"/>
          <w:lang w:val="en-CA"/>
        </w:rPr>
        <w:t>, Ericsson</w:t>
      </w:r>
      <w:bookmarkEnd w:id="8"/>
    </w:p>
    <w:p w14:paraId="7D461FFD" w14:textId="7A268861" w:rsidR="00506496" w:rsidRDefault="00506496" w:rsidP="002D2B73">
      <w:pPr>
        <w:numPr>
          <w:ilvl w:val="0"/>
          <w:numId w:val="9"/>
        </w:numPr>
        <w:tabs>
          <w:tab w:val="left" w:pos="851"/>
        </w:tabs>
        <w:rPr>
          <w:rFonts w:ascii="Arial" w:hAnsi="Arial" w:cs="Arial"/>
          <w:sz w:val="22"/>
          <w:szCs w:val="22"/>
          <w:lang w:val="en-CA"/>
        </w:rPr>
      </w:pPr>
      <w:bookmarkStart w:id="9" w:name="_Ref79162139"/>
      <w:r>
        <w:rPr>
          <w:rFonts w:ascii="Arial" w:hAnsi="Arial" w:cs="Arial"/>
          <w:sz w:val="22"/>
          <w:szCs w:val="22"/>
          <w:lang w:val="en-CA"/>
        </w:rPr>
        <w:t>R4-21</w:t>
      </w:r>
      <w:r w:rsidR="00732CB6">
        <w:rPr>
          <w:rFonts w:ascii="Arial" w:hAnsi="Arial" w:cs="Arial"/>
          <w:sz w:val="22"/>
          <w:szCs w:val="22"/>
          <w:lang w:val="en-CA"/>
        </w:rPr>
        <w:t>14165</w:t>
      </w:r>
      <w:r>
        <w:rPr>
          <w:rFonts w:ascii="Arial" w:hAnsi="Arial" w:cs="Arial"/>
          <w:sz w:val="22"/>
          <w:szCs w:val="22"/>
          <w:lang w:val="en-CA"/>
        </w:rPr>
        <w:t xml:space="preserve"> “</w:t>
      </w:r>
      <w:r w:rsidRPr="00506496">
        <w:rPr>
          <w:rFonts w:ascii="Arial" w:hAnsi="Arial" w:cs="Arial"/>
          <w:sz w:val="22"/>
          <w:szCs w:val="22"/>
          <w:lang w:val="en-CA"/>
        </w:rPr>
        <w:t>DraftCR (R15) Applicability of test cases with LTE/FR1+FR2</w:t>
      </w:r>
      <w:r>
        <w:rPr>
          <w:rFonts w:ascii="Arial" w:hAnsi="Arial" w:cs="Arial"/>
          <w:sz w:val="22"/>
          <w:szCs w:val="22"/>
          <w:lang w:val="en-CA"/>
        </w:rPr>
        <w:t>”, Ericsson</w:t>
      </w:r>
      <w:bookmarkEnd w:id="9"/>
    </w:p>
    <w:p w14:paraId="3F5141B5" w14:textId="2B529DC0" w:rsidR="007E489B" w:rsidRDefault="007E489B" w:rsidP="007E489B">
      <w:pPr>
        <w:tabs>
          <w:tab w:val="left" w:pos="851"/>
        </w:tabs>
        <w:rPr>
          <w:rFonts w:ascii="Arial" w:hAnsi="Arial" w:cs="Arial"/>
          <w:sz w:val="22"/>
          <w:szCs w:val="22"/>
          <w:lang w:val="en-CA"/>
        </w:rPr>
      </w:pPr>
    </w:p>
    <w:p w14:paraId="1B7A9A94" w14:textId="1E708C22" w:rsidR="007E489B" w:rsidRDefault="007E489B" w:rsidP="007E489B">
      <w:pPr>
        <w:pStyle w:val="Heading1"/>
        <w:numPr>
          <w:ilvl w:val="0"/>
          <w:numId w:val="0"/>
        </w:numPr>
        <w:rPr>
          <w:lang w:val="en-CA"/>
        </w:rPr>
      </w:pPr>
      <w:r>
        <w:rPr>
          <w:lang w:val="en-CA"/>
        </w:rPr>
        <w:lastRenderedPageBreak/>
        <w:t>Appendix</w:t>
      </w:r>
    </w:p>
    <w:p w14:paraId="3F248402" w14:textId="5F14FE68" w:rsidR="007E489B" w:rsidRPr="007E489B" w:rsidRDefault="007E489B" w:rsidP="007E489B">
      <w:pPr>
        <w:keepNext/>
        <w:keepLines/>
        <w:overflowPunct w:val="0"/>
        <w:autoSpaceDE w:val="0"/>
        <w:autoSpaceDN w:val="0"/>
        <w:adjustRightInd w:val="0"/>
        <w:spacing w:before="180"/>
        <w:ind w:left="1134" w:hanging="1134"/>
        <w:textAlignment w:val="baseline"/>
        <w:outlineLvl w:val="1"/>
        <w:rPr>
          <w:rFonts w:ascii="Arial" w:hAnsi="Arial"/>
          <w:sz w:val="24"/>
          <w:szCs w:val="16"/>
        </w:rPr>
      </w:pPr>
      <w:bookmarkStart w:id="10" w:name="_Toc535476134"/>
      <w:r w:rsidRPr="007E489B">
        <w:rPr>
          <w:rFonts w:ascii="Arial" w:hAnsi="Arial"/>
          <w:sz w:val="24"/>
          <w:szCs w:val="16"/>
        </w:rPr>
        <w:t xml:space="preserve">A.3.13A Test Cases </w:t>
      </w:r>
      <w:bookmarkEnd w:id="10"/>
      <w:r w:rsidRPr="007E489B">
        <w:rPr>
          <w:rFonts w:ascii="Arial" w:hAnsi="Arial"/>
          <w:sz w:val="24"/>
          <w:szCs w:val="16"/>
        </w:rPr>
        <w:t>involving E</w:t>
      </w:r>
      <w:r>
        <w:rPr>
          <w:rFonts w:ascii="Arial" w:hAnsi="Arial"/>
          <w:sz w:val="24"/>
          <w:szCs w:val="16"/>
        </w:rPr>
        <w:t>-</w:t>
      </w:r>
      <w:r w:rsidRPr="007E489B">
        <w:rPr>
          <w:rFonts w:ascii="Arial" w:hAnsi="Arial"/>
          <w:sz w:val="24"/>
          <w:szCs w:val="16"/>
        </w:rPr>
        <w:t>UTRA/FR1 and FR2 carriers</w:t>
      </w:r>
    </w:p>
    <w:p w14:paraId="76E91BB0" w14:textId="77777777" w:rsidR="007E489B" w:rsidRPr="007E489B" w:rsidRDefault="007E489B" w:rsidP="007E489B">
      <w:pPr>
        <w:keepNext/>
        <w:keepLines/>
        <w:overflowPunct w:val="0"/>
        <w:autoSpaceDE w:val="0"/>
        <w:autoSpaceDN w:val="0"/>
        <w:adjustRightInd w:val="0"/>
        <w:spacing w:before="120"/>
        <w:ind w:left="1134" w:hanging="1134"/>
        <w:textAlignment w:val="baseline"/>
        <w:outlineLvl w:val="2"/>
        <w:rPr>
          <w:rFonts w:ascii="Arial" w:hAnsi="Arial"/>
          <w:sz w:val="22"/>
          <w:szCs w:val="16"/>
        </w:rPr>
      </w:pPr>
      <w:bookmarkStart w:id="11" w:name="_Toc535476135"/>
      <w:r w:rsidRPr="007E489B">
        <w:rPr>
          <w:rFonts w:ascii="Arial" w:hAnsi="Arial"/>
          <w:sz w:val="22"/>
          <w:szCs w:val="16"/>
        </w:rPr>
        <w:t>A.3.13A.1</w:t>
      </w:r>
      <w:r w:rsidRPr="007E489B">
        <w:rPr>
          <w:rFonts w:ascii="Arial" w:hAnsi="Arial"/>
          <w:sz w:val="22"/>
          <w:szCs w:val="16"/>
        </w:rPr>
        <w:tab/>
        <w:t>Introduction</w:t>
      </w:r>
      <w:bookmarkEnd w:id="11"/>
    </w:p>
    <w:p w14:paraId="67D827DF" w14:textId="77777777" w:rsidR="007E489B" w:rsidRPr="007E489B" w:rsidRDefault="007E489B" w:rsidP="007E489B">
      <w:pPr>
        <w:overflowPunct w:val="0"/>
        <w:autoSpaceDE w:val="0"/>
        <w:autoSpaceDN w:val="0"/>
        <w:adjustRightInd w:val="0"/>
        <w:textAlignment w:val="baseline"/>
        <w:rPr>
          <w:sz w:val="16"/>
          <w:szCs w:val="16"/>
        </w:rPr>
      </w:pPr>
      <w:r w:rsidRPr="007E489B">
        <w:rPr>
          <w:sz w:val="16"/>
          <w:szCs w:val="16"/>
        </w:rPr>
        <w:t>The following applies to UE compliant to this version of the specification when undergoing tests with a mix of E-UTRA/NR FR1 and NR FR2 carriers in clauses A.5, A.7 and A.8.</w:t>
      </w:r>
    </w:p>
    <w:p w14:paraId="6A7E7671" w14:textId="77777777" w:rsidR="007E489B" w:rsidRPr="007E489B" w:rsidRDefault="007E489B" w:rsidP="007E489B">
      <w:pPr>
        <w:keepNext/>
        <w:keepLines/>
        <w:overflowPunct w:val="0"/>
        <w:autoSpaceDE w:val="0"/>
        <w:autoSpaceDN w:val="0"/>
        <w:adjustRightInd w:val="0"/>
        <w:spacing w:before="120"/>
        <w:ind w:left="1134" w:hanging="1134"/>
        <w:textAlignment w:val="baseline"/>
        <w:outlineLvl w:val="2"/>
        <w:rPr>
          <w:rFonts w:ascii="Arial" w:hAnsi="Arial"/>
          <w:sz w:val="22"/>
          <w:szCs w:val="22"/>
        </w:rPr>
      </w:pPr>
      <w:bookmarkStart w:id="12" w:name="_Toc535476136"/>
      <w:r w:rsidRPr="007E489B">
        <w:rPr>
          <w:rFonts w:ascii="Arial" w:hAnsi="Arial"/>
          <w:sz w:val="22"/>
          <w:szCs w:val="22"/>
        </w:rPr>
        <w:t>A.3.13A.2</w:t>
      </w:r>
      <w:r w:rsidRPr="007E489B">
        <w:rPr>
          <w:rFonts w:ascii="Arial" w:hAnsi="Arial"/>
          <w:sz w:val="22"/>
          <w:szCs w:val="22"/>
        </w:rPr>
        <w:tab/>
        <w:t>Principle of Testing</w:t>
      </w:r>
      <w:bookmarkEnd w:id="12"/>
      <w:r w:rsidRPr="007E489B">
        <w:rPr>
          <w:rFonts w:ascii="Arial" w:hAnsi="Arial"/>
          <w:sz w:val="22"/>
          <w:szCs w:val="22"/>
        </w:rPr>
        <w:t xml:space="preserve"> in EN-DC</w:t>
      </w:r>
    </w:p>
    <w:p w14:paraId="1092C47D" w14:textId="77777777" w:rsidR="007E489B" w:rsidRPr="007E489B" w:rsidRDefault="007E489B" w:rsidP="007E489B">
      <w:pPr>
        <w:overflowPunct w:val="0"/>
        <w:autoSpaceDE w:val="0"/>
        <w:autoSpaceDN w:val="0"/>
        <w:adjustRightInd w:val="0"/>
        <w:textAlignment w:val="baseline"/>
        <w:rPr>
          <w:sz w:val="16"/>
          <w:szCs w:val="16"/>
        </w:rPr>
      </w:pPr>
      <w:r w:rsidRPr="007E489B">
        <w:rPr>
          <w:sz w:val="16"/>
          <w:szCs w:val="16"/>
        </w:rPr>
        <w:t>For test cases in clause A.5 listed in Table A.3.13A.2-1, the following applies:</w:t>
      </w:r>
    </w:p>
    <w:p w14:paraId="6988B76A" w14:textId="77777777" w:rsidR="007E489B" w:rsidRPr="007E489B" w:rsidRDefault="007E489B" w:rsidP="007E489B">
      <w:pPr>
        <w:pStyle w:val="ListParagraph"/>
        <w:numPr>
          <w:ilvl w:val="0"/>
          <w:numId w:val="31"/>
        </w:numPr>
        <w:overflowPunct w:val="0"/>
        <w:autoSpaceDE w:val="0"/>
        <w:autoSpaceDN w:val="0"/>
        <w:adjustRightInd w:val="0"/>
        <w:textAlignment w:val="baseline"/>
        <w:rPr>
          <w:sz w:val="16"/>
          <w:szCs w:val="16"/>
        </w:rPr>
      </w:pPr>
      <w:r w:rsidRPr="007E489B">
        <w:rPr>
          <w:sz w:val="16"/>
          <w:szCs w:val="16"/>
        </w:rPr>
        <w:t>UE does not have to pass the test case</w:t>
      </w:r>
    </w:p>
    <w:p w14:paraId="3CF14CB4" w14:textId="77777777" w:rsidR="007E489B" w:rsidRPr="007E489B" w:rsidRDefault="007E489B" w:rsidP="007E489B">
      <w:pPr>
        <w:overflowPunct w:val="0"/>
        <w:autoSpaceDE w:val="0"/>
        <w:autoSpaceDN w:val="0"/>
        <w:adjustRightInd w:val="0"/>
        <w:textAlignment w:val="baseline"/>
        <w:rPr>
          <w:sz w:val="16"/>
          <w:szCs w:val="16"/>
        </w:rPr>
      </w:pPr>
      <w:r w:rsidRPr="007E489B">
        <w:rPr>
          <w:sz w:val="16"/>
          <w:szCs w:val="16"/>
        </w:rPr>
        <w:t>For test cases in clause A.5 not listed in Table A.3.13A.2-1, the following applies:</w:t>
      </w:r>
    </w:p>
    <w:p w14:paraId="10185E26" w14:textId="77777777" w:rsidR="007E489B" w:rsidRPr="007E489B" w:rsidRDefault="007E489B" w:rsidP="007E489B">
      <w:pPr>
        <w:pStyle w:val="ListParagraph"/>
        <w:numPr>
          <w:ilvl w:val="0"/>
          <w:numId w:val="31"/>
        </w:numPr>
        <w:overflowPunct w:val="0"/>
        <w:autoSpaceDE w:val="0"/>
        <w:autoSpaceDN w:val="0"/>
        <w:adjustRightInd w:val="0"/>
        <w:textAlignment w:val="baseline"/>
        <w:rPr>
          <w:sz w:val="16"/>
          <w:szCs w:val="16"/>
        </w:rPr>
      </w:pPr>
      <w:r w:rsidRPr="007E489B">
        <w:rPr>
          <w:sz w:val="16"/>
          <w:szCs w:val="16"/>
        </w:rPr>
        <w:t xml:space="preserve">UE does not have to pass interruption requirements for E-UTRA cell or NR cell in FR1 </w:t>
      </w:r>
    </w:p>
    <w:p w14:paraId="11E09998" w14:textId="77777777" w:rsidR="007E489B" w:rsidRPr="007E489B" w:rsidRDefault="007E489B" w:rsidP="007E489B">
      <w:pPr>
        <w:pStyle w:val="ListParagraph"/>
        <w:numPr>
          <w:ilvl w:val="0"/>
          <w:numId w:val="31"/>
        </w:numPr>
        <w:overflowPunct w:val="0"/>
        <w:autoSpaceDE w:val="0"/>
        <w:autoSpaceDN w:val="0"/>
        <w:adjustRightInd w:val="0"/>
        <w:textAlignment w:val="baseline"/>
        <w:rPr>
          <w:sz w:val="16"/>
          <w:szCs w:val="16"/>
        </w:rPr>
      </w:pPr>
      <w:r w:rsidRPr="007E489B">
        <w:rPr>
          <w:sz w:val="16"/>
          <w:szCs w:val="16"/>
        </w:rPr>
        <w:t>UE shall be configured to use SRB3 for relevant RRC signalling and measurement reporting in SCG</w:t>
      </w:r>
    </w:p>
    <w:p w14:paraId="70712220" w14:textId="77777777" w:rsidR="007E489B" w:rsidRPr="007E489B" w:rsidRDefault="007E489B" w:rsidP="007E489B">
      <w:pPr>
        <w:pStyle w:val="TH"/>
        <w:rPr>
          <w:sz w:val="16"/>
          <w:szCs w:val="16"/>
        </w:rPr>
      </w:pPr>
      <w:r w:rsidRPr="007E489B">
        <w:rPr>
          <w:sz w:val="16"/>
          <w:szCs w:val="16"/>
        </w:rPr>
        <w:t xml:space="preserve">Table A.3.13A.2-1: </w:t>
      </w:r>
      <w:r w:rsidRPr="007E489B">
        <w:rPr>
          <w:sz w:val="16"/>
          <w:szCs w:val="16"/>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7E489B" w:rsidRPr="007E489B" w14:paraId="4FB0ABF5" w14:textId="77777777" w:rsidTr="00D740B2">
        <w:trPr>
          <w:jc w:val="center"/>
        </w:trPr>
        <w:tc>
          <w:tcPr>
            <w:tcW w:w="1134" w:type="dxa"/>
          </w:tcPr>
          <w:p w14:paraId="3F371186" w14:textId="77777777" w:rsidR="007E489B" w:rsidRPr="007E489B" w:rsidRDefault="007E489B" w:rsidP="00D740B2">
            <w:pPr>
              <w:spacing w:before="120" w:after="120"/>
              <w:rPr>
                <w:b/>
                <w:bCs/>
                <w:iCs/>
                <w:sz w:val="16"/>
                <w:szCs w:val="16"/>
              </w:rPr>
            </w:pPr>
            <w:r w:rsidRPr="007E489B">
              <w:rPr>
                <w:b/>
                <w:bCs/>
                <w:iCs/>
                <w:sz w:val="16"/>
                <w:szCs w:val="16"/>
              </w:rPr>
              <w:t>Clause</w:t>
            </w:r>
          </w:p>
        </w:tc>
        <w:tc>
          <w:tcPr>
            <w:tcW w:w="6378" w:type="dxa"/>
          </w:tcPr>
          <w:p w14:paraId="3EA80ABC" w14:textId="77777777" w:rsidR="007E489B" w:rsidRPr="007E489B" w:rsidRDefault="007E489B" w:rsidP="00D740B2">
            <w:pPr>
              <w:spacing w:before="120" w:after="120"/>
              <w:rPr>
                <w:b/>
                <w:bCs/>
                <w:iCs/>
                <w:sz w:val="16"/>
                <w:szCs w:val="16"/>
              </w:rPr>
            </w:pPr>
            <w:r w:rsidRPr="007E489B">
              <w:rPr>
                <w:b/>
                <w:bCs/>
                <w:iCs/>
                <w:sz w:val="16"/>
                <w:szCs w:val="16"/>
              </w:rPr>
              <w:t>Test case slogan</w:t>
            </w:r>
          </w:p>
        </w:tc>
      </w:tr>
      <w:tr w:rsidR="007E489B" w:rsidRPr="007E489B" w14:paraId="4908D6A0" w14:textId="77777777" w:rsidTr="00D740B2">
        <w:trPr>
          <w:jc w:val="center"/>
        </w:trPr>
        <w:tc>
          <w:tcPr>
            <w:tcW w:w="1134" w:type="dxa"/>
          </w:tcPr>
          <w:p w14:paraId="47C1B1CA" w14:textId="77777777" w:rsidR="007E489B" w:rsidRPr="007E489B" w:rsidRDefault="007E489B" w:rsidP="00D740B2">
            <w:pPr>
              <w:spacing w:after="0"/>
              <w:rPr>
                <w:iCs/>
                <w:sz w:val="16"/>
                <w:szCs w:val="16"/>
              </w:rPr>
            </w:pPr>
            <w:r w:rsidRPr="007E489B">
              <w:rPr>
                <w:iCs/>
                <w:sz w:val="16"/>
                <w:szCs w:val="16"/>
              </w:rPr>
              <w:t>A.5.5.3.2</w:t>
            </w:r>
          </w:p>
        </w:tc>
        <w:tc>
          <w:tcPr>
            <w:tcW w:w="6378" w:type="dxa"/>
          </w:tcPr>
          <w:p w14:paraId="6CCE7FC7" w14:textId="77777777" w:rsidR="007E489B" w:rsidRPr="007E489B" w:rsidRDefault="007E489B" w:rsidP="00D740B2">
            <w:pPr>
              <w:spacing w:after="0"/>
              <w:rPr>
                <w:iCs/>
                <w:sz w:val="16"/>
                <w:szCs w:val="16"/>
              </w:rPr>
            </w:pPr>
            <w:r w:rsidRPr="007E489B">
              <w:rPr>
                <w:iCs/>
                <w:sz w:val="16"/>
                <w:szCs w:val="16"/>
              </w:rPr>
              <w:t>SCell Activation and deactivation of known SCell in FR1 for 160ms SCell measurement cycle</w:t>
            </w:r>
          </w:p>
        </w:tc>
      </w:tr>
      <w:tr w:rsidR="007E489B" w:rsidRPr="007E489B" w14:paraId="0B424861" w14:textId="77777777" w:rsidTr="00D740B2">
        <w:trPr>
          <w:jc w:val="center"/>
        </w:trPr>
        <w:tc>
          <w:tcPr>
            <w:tcW w:w="1134" w:type="dxa"/>
          </w:tcPr>
          <w:p w14:paraId="731E902A" w14:textId="77777777" w:rsidR="007E489B" w:rsidRPr="007E489B" w:rsidRDefault="007E489B" w:rsidP="00D740B2">
            <w:pPr>
              <w:spacing w:after="0"/>
              <w:rPr>
                <w:iCs/>
                <w:sz w:val="16"/>
                <w:szCs w:val="16"/>
              </w:rPr>
            </w:pPr>
            <w:r w:rsidRPr="007E489B">
              <w:rPr>
                <w:iCs/>
                <w:sz w:val="16"/>
                <w:szCs w:val="16"/>
              </w:rPr>
              <w:t>A.5.5.3.5</w:t>
            </w:r>
          </w:p>
        </w:tc>
        <w:tc>
          <w:tcPr>
            <w:tcW w:w="6378" w:type="dxa"/>
          </w:tcPr>
          <w:p w14:paraId="768D8581" w14:textId="77777777" w:rsidR="007E489B" w:rsidRPr="007E489B" w:rsidRDefault="007E489B" w:rsidP="00D740B2">
            <w:pPr>
              <w:spacing w:after="0"/>
              <w:rPr>
                <w:iCs/>
                <w:sz w:val="16"/>
                <w:szCs w:val="16"/>
              </w:rPr>
            </w:pPr>
            <w:r w:rsidRPr="007E489B">
              <w:rPr>
                <w:iCs/>
                <w:sz w:val="16"/>
                <w:szCs w:val="16"/>
              </w:rPr>
              <w:t>SCell Activation and deactivation of SCell in FR2</w:t>
            </w:r>
          </w:p>
          <w:p w14:paraId="2E479595" w14:textId="77777777" w:rsidR="007E489B" w:rsidRPr="007E489B" w:rsidRDefault="007E489B" w:rsidP="00D740B2">
            <w:pPr>
              <w:spacing w:after="0"/>
              <w:rPr>
                <w:iCs/>
                <w:sz w:val="16"/>
                <w:szCs w:val="16"/>
              </w:rPr>
            </w:pPr>
          </w:p>
        </w:tc>
      </w:tr>
    </w:tbl>
    <w:p w14:paraId="08DF5D26" w14:textId="77777777" w:rsidR="007E489B" w:rsidRPr="007E489B" w:rsidRDefault="007E489B" w:rsidP="007E489B">
      <w:pPr>
        <w:overflowPunct w:val="0"/>
        <w:autoSpaceDE w:val="0"/>
        <w:autoSpaceDN w:val="0"/>
        <w:adjustRightInd w:val="0"/>
        <w:textAlignment w:val="baseline"/>
        <w:rPr>
          <w:sz w:val="16"/>
          <w:szCs w:val="16"/>
        </w:rPr>
      </w:pPr>
    </w:p>
    <w:p w14:paraId="7C053F36" w14:textId="77777777" w:rsidR="007E489B" w:rsidRPr="007E489B" w:rsidRDefault="007E489B" w:rsidP="007E489B">
      <w:pPr>
        <w:keepNext/>
        <w:keepLines/>
        <w:overflowPunct w:val="0"/>
        <w:autoSpaceDE w:val="0"/>
        <w:autoSpaceDN w:val="0"/>
        <w:adjustRightInd w:val="0"/>
        <w:spacing w:before="120"/>
        <w:ind w:left="1134" w:hanging="1134"/>
        <w:textAlignment w:val="baseline"/>
        <w:outlineLvl w:val="2"/>
        <w:rPr>
          <w:rFonts w:ascii="Arial" w:hAnsi="Arial"/>
          <w:sz w:val="22"/>
          <w:szCs w:val="22"/>
        </w:rPr>
      </w:pPr>
      <w:r w:rsidRPr="007E489B">
        <w:rPr>
          <w:rFonts w:ascii="Arial" w:hAnsi="Arial"/>
          <w:sz w:val="22"/>
          <w:szCs w:val="22"/>
        </w:rPr>
        <w:t>A.3.13A.3</w:t>
      </w:r>
      <w:r w:rsidRPr="007E489B">
        <w:rPr>
          <w:rFonts w:ascii="Arial" w:hAnsi="Arial"/>
          <w:sz w:val="22"/>
          <w:szCs w:val="22"/>
        </w:rPr>
        <w:tab/>
        <w:t>Principle of Testing in SA</w:t>
      </w:r>
    </w:p>
    <w:p w14:paraId="7056F499" w14:textId="77777777" w:rsidR="007E489B" w:rsidRPr="007E489B" w:rsidRDefault="007E489B" w:rsidP="007E489B">
      <w:pPr>
        <w:overflowPunct w:val="0"/>
        <w:autoSpaceDE w:val="0"/>
        <w:autoSpaceDN w:val="0"/>
        <w:adjustRightInd w:val="0"/>
        <w:textAlignment w:val="baseline"/>
        <w:rPr>
          <w:sz w:val="16"/>
          <w:szCs w:val="16"/>
        </w:rPr>
      </w:pPr>
      <w:r w:rsidRPr="007E489B">
        <w:rPr>
          <w:sz w:val="16"/>
          <w:szCs w:val="16"/>
        </w:rPr>
        <w:t>For test cases in clause A.7 listed in Table A.3.13A.3-1, the following applies:</w:t>
      </w:r>
    </w:p>
    <w:p w14:paraId="52F286B2" w14:textId="77777777" w:rsidR="007E489B" w:rsidRPr="007E489B" w:rsidRDefault="007E489B" w:rsidP="007E489B">
      <w:pPr>
        <w:pStyle w:val="ListParagraph"/>
        <w:numPr>
          <w:ilvl w:val="0"/>
          <w:numId w:val="31"/>
        </w:numPr>
        <w:overflowPunct w:val="0"/>
        <w:autoSpaceDE w:val="0"/>
        <w:autoSpaceDN w:val="0"/>
        <w:adjustRightInd w:val="0"/>
        <w:textAlignment w:val="baseline"/>
        <w:rPr>
          <w:sz w:val="16"/>
          <w:szCs w:val="16"/>
        </w:rPr>
      </w:pPr>
      <w:r w:rsidRPr="007E489B">
        <w:rPr>
          <w:sz w:val="16"/>
          <w:szCs w:val="16"/>
        </w:rPr>
        <w:t>UE does not have to pass the test case</w:t>
      </w:r>
    </w:p>
    <w:p w14:paraId="3D2630E8" w14:textId="77777777" w:rsidR="007E489B" w:rsidRPr="007E489B" w:rsidRDefault="007E489B" w:rsidP="007E489B">
      <w:pPr>
        <w:overflowPunct w:val="0"/>
        <w:autoSpaceDE w:val="0"/>
        <w:autoSpaceDN w:val="0"/>
        <w:adjustRightInd w:val="0"/>
        <w:textAlignment w:val="baseline"/>
        <w:rPr>
          <w:sz w:val="16"/>
          <w:szCs w:val="16"/>
        </w:rPr>
      </w:pPr>
      <w:r w:rsidRPr="007E489B">
        <w:rPr>
          <w:sz w:val="16"/>
          <w:szCs w:val="16"/>
        </w:rPr>
        <w:t>For test cases in clause A.7 not listed in Table A.3.13A.3-1, the following applies:</w:t>
      </w:r>
    </w:p>
    <w:p w14:paraId="7D2F10BD" w14:textId="77777777" w:rsidR="007E489B" w:rsidRPr="007E489B" w:rsidRDefault="007E489B" w:rsidP="007E489B">
      <w:pPr>
        <w:pStyle w:val="ListParagraph"/>
        <w:numPr>
          <w:ilvl w:val="0"/>
          <w:numId w:val="31"/>
        </w:numPr>
        <w:overflowPunct w:val="0"/>
        <w:autoSpaceDE w:val="0"/>
        <w:autoSpaceDN w:val="0"/>
        <w:adjustRightInd w:val="0"/>
        <w:textAlignment w:val="baseline"/>
        <w:rPr>
          <w:sz w:val="16"/>
          <w:szCs w:val="16"/>
        </w:rPr>
      </w:pPr>
      <w:r w:rsidRPr="007E489B">
        <w:rPr>
          <w:sz w:val="16"/>
          <w:szCs w:val="16"/>
        </w:rPr>
        <w:t>UE does not have to pass interruption requirements for NR cell in FR1</w:t>
      </w:r>
    </w:p>
    <w:p w14:paraId="11A22869" w14:textId="77777777" w:rsidR="007E489B" w:rsidRPr="007E489B" w:rsidRDefault="007E489B" w:rsidP="007E489B">
      <w:pPr>
        <w:pStyle w:val="ListParagraph"/>
        <w:numPr>
          <w:ilvl w:val="0"/>
          <w:numId w:val="31"/>
        </w:numPr>
        <w:overflowPunct w:val="0"/>
        <w:autoSpaceDE w:val="0"/>
        <w:autoSpaceDN w:val="0"/>
        <w:adjustRightInd w:val="0"/>
        <w:textAlignment w:val="baseline"/>
        <w:rPr>
          <w:sz w:val="16"/>
          <w:szCs w:val="16"/>
        </w:rPr>
      </w:pPr>
      <w:r w:rsidRPr="007E489B">
        <w:rPr>
          <w:sz w:val="16"/>
          <w:szCs w:val="16"/>
        </w:rPr>
        <w:t>UE does not have to pass relative measurement accuracy requirements when any of the carriers is in FR1</w:t>
      </w:r>
    </w:p>
    <w:p w14:paraId="14F50077" w14:textId="77777777" w:rsidR="007E489B" w:rsidRPr="007E489B" w:rsidRDefault="007E489B" w:rsidP="007E489B">
      <w:pPr>
        <w:pStyle w:val="ListParagraph"/>
        <w:numPr>
          <w:ilvl w:val="0"/>
          <w:numId w:val="31"/>
        </w:numPr>
        <w:overflowPunct w:val="0"/>
        <w:autoSpaceDE w:val="0"/>
        <w:autoSpaceDN w:val="0"/>
        <w:adjustRightInd w:val="0"/>
        <w:textAlignment w:val="baseline"/>
        <w:rPr>
          <w:sz w:val="16"/>
          <w:szCs w:val="16"/>
        </w:rPr>
      </w:pPr>
      <w:r w:rsidRPr="007E489B">
        <w:rPr>
          <w:sz w:val="16"/>
          <w:szCs w:val="16"/>
        </w:rPr>
        <w:t>UE shall be configured to use SRB3 for relevant RRC signalling and measurement reporting in SCG</w:t>
      </w:r>
    </w:p>
    <w:p w14:paraId="161F912D" w14:textId="77777777" w:rsidR="007E489B" w:rsidRPr="007E489B" w:rsidRDefault="007E489B" w:rsidP="007E489B">
      <w:pPr>
        <w:pStyle w:val="TH"/>
        <w:rPr>
          <w:sz w:val="16"/>
          <w:szCs w:val="16"/>
          <w:lang w:eastAsia="zh-CN"/>
        </w:rPr>
      </w:pPr>
      <w:r w:rsidRPr="007E489B">
        <w:rPr>
          <w:sz w:val="16"/>
          <w:szCs w:val="16"/>
        </w:rPr>
        <w:t xml:space="preserve">Table A.3.13A.3-1: </w:t>
      </w:r>
      <w:r w:rsidRPr="007E489B">
        <w:rPr>
          <w:sz w:val="16"/>
          <w:szCs w:val="16"/>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7E489B" w:rsidRPr="007E489B" w14:paraId="0576B60D" w14:textId="77777777" w:rsidTr="00D740B2">
        <w:trPr>
          <w:jc w:val="center"/>
        </w:trPr>
        <w:tc>
          <w:tcPr>
            <w:tcW w:w="1134" w:type="dxa"/>
          </w:tcPr>
          <w:p w14:paraId="54112AD0" w14:textId="77777777" w:rsidR="007E489B" w:rsidRPr="007E489B" w:rsidRDefault="007E489B" w:rsidP="00D740B2">
            <w:pPr>
              <w:spacing w:before="120" w:after="120"/>
              <w:rPr>
                <w:b/>
                <w:bCs/>
                <w:iCs/>
                <w:sz w:val="16"/>
                <w:szCs w:val="16"/>
              </w:rPr>
            </w:pPr>
            <w:r w:rsidRPr="007E489B">
              <w:rPr>
                <w:b/>
                <w:bCs/>
                <w:iCs/>
                <w:sz w:val="16"/>
                <w:szCs w:val="16"/>
              </w:rPr>
              <w:t>Clause</w:t>
            </w:r>
          </w:p>
        </w:tc>
        <w:tc>
          <w:tcPr>
            <w:tcW w:w="6378" w:type="dxa"/>
          </w:tcPr>
          <w:p w14:paraId="31A441A2" w14:textId="77777777" w:rsidR="007E489B" w:rsidRPr="007E489B" w:rsidRDefault="007E489B" w:rsidP="00D740B2">
            <w:pPr>
              <w:spacing w:before="120" w:after="120"/>
              <w:rPr>
                <w:b/>
                <w:bCs/>
                <w:iCs/>
                <w:sz w:val="16"/>
                <w:szCs w:val="16"/>
              </w:rPr>
            </w:pPr>
            <w:r w:rsidRPr="007E489B">
              <w:rPr>
                <w:b/>
                <w:bCs/>
                <w:iCs/>
                <w:sz w:val="16"/>
                <w:szCs w:val="16"/>
              </w:rPr>
              <w:t>Test case slogan</w:t>
            </w:r>
          </w:p>
        </w:tc>
      </w:tr>
      <w:tr w:rsidR="007E489B" w:rsidRPr="007E489B" w14:paraId="0A2C4361" w14:textId="77777777" w:rsidTr="00D740B2">
        <w:trPr>
          <w:jc w:val="center"/>
        </w:trPr>
        <w:tc>
          <w:tcPr>
            <w:tcW w:w="1134" w:type="dxa"/>
          </w:tcPr>
          <w:p w14:paraId="3632CE2A" w14:textId="77777777" w:rsidR="007E489B" w:rsidRPr="007E489B" w:rsidRDefault="007E489B" w:rsidP="00D740B2">
            <w:pPr>
              <w:spacing w:after="0"/>
              <w:rPr>
                <w:iCs/>
                <w:sz w:val="16"/>
                <w:szCs w:val="16"/>
              </w:rPr>
            </w:pPr>
            <w:r w:rsidRPr="007E489B">
              <w:rPr>
                <w:iCs/>
                <w:sz w:val="16"/>
                <w:szCs w:val="16"/>
              </w:rPr>
              <w:t>A.7.5.3.2</w:t>
            </w:r>
          </w:p>
        </w:tc>
        <w:tc>
          <w:tcPr>
            <w:tcW w:w="6378" w:type="dxa"/>
          </w:tcPr>
          <w:p w14:paraId="561BF8FF" w14:textId="77777777" w:rsidR="007E489B" w:rsidRPr="007E489B" w:rsidRDefault="007E489B" w:rsidP="00D740B2">
            <w:pPr>
              <w:spacing w:after="0"/>
              <w:rPr>
                <w:iCs/>
                <w:sz w:val="16"/>
                <w:szCs w:val="16"/>
              </w:rPr>
            </w:pPr>
            <w:r w:rsidRPr="007E489B">
              <w:rPr>
                <w:iCs/>
                <w:sz w:val="16"/>
                <w:szCs w:val="16"/>
              </w:rPr>
              <w:t>SCell Activation and deactivation for FR1+FR2 inter-band with target SCell in FR2</w:t>
            </w:r>
          </w:p>
        </w:tc>
      </w:tr>
      <w:tr w:rsidR="007E489B" w:rsidRPr="007E489B" w14:paraId="3A7875C5" w14:textId="77777777" w:rsidTr="00D740B2">
        <w:trPr>
          <w:jc w:val="center"/>
        </w:trPr>
        <w:tc>
          <w:tcPr>
            <w:tcW w:w="1134" w:type="dxa"/>
          </w:tcPr>
          <w:p w14:paraId="5F219390" w14:textId="77777777" w:rsidR="007E489B" w:rsidRPr="007E489B" w:rsidRDefault="007E489B" w:rsidP="00D740B2">
            <w:pPr>
              <w:spacing w:after="0"/>
              <w:rPr>
                <w:iCs/>
                <w:sz w:val="16"/>
                <w:szCs w:val="16"/>
              </w:rPr>
            </w:pPr>
            <w:r w:rsidRPr="007E489B">
              <w:rPr>
                <w:iCs/>
                <w:sz w:val="16"/>
                <w:szCs w:val="16"/>
              </w:rPr>
              <w:t>A.7.5.6.1.2</w:t>
            </w:r>
          </w:p>
        </w:tc>
        <w:tc>
          <w:tcPr>
            <w:tcW w:w="6378" w:type="dxa"/>
          </w:tcPr>
          <w:p w14:paraId="2626E56A" w14:textId="77777777" w:rsidR="007E489B" w:rsidRPr="007E489B" w:rsidRDefault="007E489B" w:rsidP="00D740B2">
            <w:pPr>
              <w:spacing w:after="0"/>
              <w:rPr>
                <w:iCs/>
                <w:sz w:val="16"/>
                <w:szCs w:val="16"/>
              </w:rPr>
            </w:pPr>
            <w:r w:rsidRPr="007E489B">
              <w:rPr>
                <w:iCs/>
                <w:sz w:val="16"/>
                <w:szCs w:val="16"/>
              </w:rPr>
              <w:t>NR FR1- NR FR2 DL active BWP switch of PCell with non-DRX in SA</w:t>
            </w:r>
          </w:p>
          <w:p w14:paraId="3D3BCEC7" w14:textId="77777777" w:rsidR="007E489B" w:rsidRPr="007E489B" w:rsidRDefault="007E489B" w:rsidP="00D740B2">
            <w:pPr>
              <w:spacing w:after="0"/>
              <w:rPr>
                <w:iCs/>
                <w:sz w:val="16"/>
                <w:szCs w:val="16"/>
              </w:rPr>
            </w:pPr>
          </w:p>
        </w:tc>
      </w:tr>
      <w:tr w:rsidR="007E489B" w:rsidRPr="007E489B" w14:paraId="5A08A4CE" w14:textId="77777777" w:rsidTr="00D740B2">
        <w:trPr>
          <w:jc w:val="center"/>
        </w:trPr>
        <w:tc>
          <w:tcPr>
            <w:tcW w:w="1134" w:type="dxa"/>
          </w:tcPr>
          <w:p w14:paraId="3A4AD95D" w14:textId="77777777" w:rsidR="007E489B" w:rsidRPr="007E489B" w:rsidRDefault="007E489B" w:rsidP="00D740B2">
            <w:pPr>
              <w:spacing w:after="0"/>
              <w:rPr>
                <w:iCs/>
                <w:sz w:val="16"/>
                <w:szCs w:val="16"/>
              </w:rPr>
            </w:pPr>
            <w:r w:rsidRPr="007E489B">
              <w:rPr>
                <w:iCs/>
                <w:sz w:val="16"/>
                <w:szCs w:val="16"/>
              </w:rPr>
              <w:t>A.7.6.2.5</w:t>
            </w:r>
          </w:p>
        </w:tc>
        <w:tc>
          <w:tcPr>
            <w:tcW w:w="6378" w:type="dxa"/>
          </w:tcPr>
          <w:p w14:paraId="6481939C" w14:textId="77777777" w:rsidR="007E489B" w:rsidRPr="007E489B" w:rsidRDefault="007E489B" w:rsidP="00D740B2">
            <w:pPr>
              <w:spacing w:after="0"/>
              <w:rPr>
                <w:iCs/>
                <w:sz w:val="16"/>
                <w:szCs w:val="16"/>
              </w:rPr>
            </w:pPr>
            <w:r w:rsidRPr="007E489B">
              <w:rPr>
                <w:iCs/>
                <w:sz w:val="16"/>
                <w:szCs w:val="16"/>
              </w:rPr>
              <w:t>SA event triggered reporting tests for FR2 without SSB time index detection when DRX is not used (PCell in FR1)</w:t>
            </w:r>
          </w:p>
        </w:tc>
      </w:tr>
      <w:tr w:rsidR="007E489B" w:rsidRPr="007E489B" w14:paraId="2A9D8415" w14:textId="77777777" w:rsidTr="00D740B2">
        <w:trPr>
          <w:jc w:val="center"/>
        </w:trPr>
        <w:tc>
          <w:tcPr>
            <w:tcW w:w="1134" w:type="dxa"/>
          </w:tcPr>
          <w:p w14:paraId="18A76A93" w14:textId="77777777" w:rsidR="007E489B" w:rsidRPr="007E489B" w:rsidRDefault="007E489B" w:rsidP="00D740B2">
            <w:pPr>
              <w:spacing w:after="0"/>
              <w:rPr>
                <w:iCs/>
                <w:sz w:val="16"/>
                <w:szCs w:val="16"/>
              </w:rPr>
            </w:pPr>
            <w:r w:rsidRPr="007E489B">
              <w:rPr>
                <w:iCs/>
                <w:sz w:val="16"/>
                <w:szCs w:val="16"/>
              </w:rPr>
              <w:t>A.7.6.2.6</w:t>
            </w:r>
          </w:p>
        </w:tc>
        <w:tc>
          <w:tcPr>
            <w:tcW w:w="6378" w:type="dxa"/>
          </w:tcPr>
          <w:p w14:paraId="69B046EB" w14:textId="77777777" w:rsidR="007E489B" w:rsidRPr="007E489B" w:rsidRDefault="007E489B" w:rsidP="00D740B2">
            <w:pPr>
              <w:spacing w:after="0"/>
              <w:rPr>
                <w:iCs/>
                <w:sz w:val="16"/>
                <w:szCs w:val="16"/>
              </w:rPr>
            </w:pPr>
            <w:r w:rsidRPr="007E489B">
              <w:rPr>
                <w:iCs/>
                <w:sz w:val="16"/>
                <w:szCs w:val="16"/>
              </w:rPr>
              <w:t>SA event triggered reporting tests for FR2 without SSB time index detection when DRX is used (PCell in FR1)</w:t>
            </w:r>
          </w:p>
        </w:tc>
      </w:tr>
      <w:tr w:rsidR="007E489B" w:rsidRPr="007E489B" w14:paraId="6E8544FB" w14:textId="77777777" w:rsidTr="00D740B2">
        <w:trPr>
          <w:jc w:val="center"/>
        </w:trPr>
        <w:tc>
          <w:tcPr>
            <w:tcW w:w="1134" w:type="dxa"/>
          </w:tcPr>
          <w:p w14:paraId="77E0E3E1" w14:textId="77777777" w:rsidR="007E489B" w:rsidRPr="007E489B" w:rsidRDefault="007E489B" w:rsidP="00D740B2">
            <w:pPr>
              <w:spacing w:after="0"/>
              <w:rPr>
                <w:iCs/>
                <w:sz w:val="16"/>
                <w:szCs w:val="16"/>
              </w:rPr>
            </w:pPr>
            <w:r w:rsidRPr="007E489B">
              <w:rPr>
                <w:iCs/>
                <w:sz w:val="16"/>
                <w:szCs w:val="16"/>
              </w:rPr>
              <w:t>A.7.6.2.7</w:t>
            </w:r>
          </w:p>
        </w:tc>
        <w:tc>
          <w:tcPr>
            <w:tcW w:w="6378" w:type="dxa"/>
          </w:tcPr>
          <w:p w14:paraId="09932F2B" w14:textId="77777777" w:rsidR="007E489B" w:rsidRPr="007E489B" w:rsidRDefault="007E489B" w:rsidP="00D740B2">
            <w:pPr>
              <w:spacing w:after="0"/>
              <w:rPr>
                <w:iCs/>
                <w:sz w:val="16"/>
                <w:szCs w:val="16"/>
              </w:rPr>
            </w:pPr>
            <w:r w:rsidRPr="007E489B">
              <w:rPr>
                <w:iCs/>
                <w:sz w:val="16"/>
                <w:szCs w:val="16"/>
              </w:rPr>
              <w:t>SA event triggered reporting tests for FR2 with SSB time index detection when DRX is not used (PCell in FR1)</w:t>
            </w:r>
          </w:p>
        </w:tc>
      </w:tr>
      <w:tr w:rsidR="007E489B" w:rsidRPr="007E489B" w14:paraId="32817EB5" w14:textId="77777777" w:rsidTr="00D740B2">
        <w:trPr>
          <w:jc w:val="center"/>
        </w:trPr>
        <w:tc>
          <w:tcPr>
            <w:tcW w:w="1134" w:type="dxa"/>
          </w:tcPr>
          <w:p w14:paraId="09B45283" w14:textId="77777777" w:rsidR="007E489B" w:rsidRPr="007E489B" w:rsidRDefault="007E489B" w:rsidP="00D740B2">
            <w:pPr>
              <w:spacing w:after="0"/>
              <w:rPr>
                <w:iCs/>
                <w:sz w:val="16"/>
                <w:szCs w:val="16"/>
              </w:rPr>
            </w:pPr>
            <w:r w:rsidRPr="007E489B">
              <w:rPr>
                <w:iCs/>
                <w:sz w:val="16"/>
                <w:szCs w:val="16"/>
              </w:rPr>
              <w:t>A.7.6.2.8</w:t>
            </w:r>
          </w:p>
        </w:tc>
        <w:tc>
          <w:tcPr>
            <w:tcW w:w="6378" w:type="dxa"/>
          </w:tcPr>
          <w:p w14:paraId="65CE32D8" w14:textId="77777777" w:rsidR="007E489B" w:rsidRPr="007E489B" w:rsidRDefault="007E489B" w:rsidP="00D740B2">
            <w:pPr>
              <w:spacing w:after="0"/>
              <w:rPr>
                <w:iCs/>
                <w:sz w:val="16"/>
                <w:szCs w:val="16"/>
              </w:rPr>
            </w:pPr>
            <w:r w:rsidRPr="007E489B">
              <w:rPr>
                <w:iCs/>
                <w:sz w:val="16"/>
                <w:szCs w:val="16"/>
              </w:rPr>
              <w:t>SA event triggered reporting tests for FR2 with SSB time index detection when DRX is used (PCell in FR1)</w:t>
            </w:r>
          </w:p>
        </w:tc>
      </w:tr>
    </w:tbl>
    <w:p w14:paraId="2CE6B15C" w14:textId="77777777" w:rsidR="007E489B" w:rsidRPr="007E489B" w:rsidRDefault="007E489B" w:rsidP="007E489B">
      <w:pPr>
        <w:overflowPunct w:val="0"/>
        <w:autoSpaceDE w:val="0"/>
        <w:autoSpaceDN w:val="0"/>
        <w:adjustRightInd w:val="0"/>
        <w:textAlignment w:val="baseline"/>
        <w:rPr>
          <w:sz w:val="16"/>
          <w:szCs w:val="16"/>
        </w:rPr>
      </w:pPr>
    </w:p>
    <w:p w14:paraId="292ED477" w14:textId="77777777" w:rsidR="007E489B" w:rsidRPr="007E489B" w:rsidRDefault="007E489B" w:rsidP="007E489B">
      <w:pPr>
        <w:keepNext/>
        <w:keepLines/>
        <w:overflowPunct w:val="0"/>
        <w:autoSpaceDE w:val="0"/>
        <w:autoSpaceDN w:val="0"/>
        <w:adjustRightInd w:val="0"/>
        <w:spacing w:before="120"/>
        <w:ind w:left="1134" w:hanging="1134"/>
        <w:textAlignment w:val="baseline"/>
        <w:outlineLvl w:val="2"/>
        <w:rPr>
          <w:rFonts w:ascii="Arial" w:hAnsi="Arial"/>
          <w:sz w:val="22"/>
          <w:szCs w:val="22"/>
        </w:rPr>
      </w:pPr>
      <w:r w:rsidRPr="007E489B">
        <w:rPr>
          <w:rFonts w:ascii="Arial" w:hAnsi="Arial"/>
          <w:sz w:val="22"/>
          <w:szCs w:val="22"/>
        </w:rPr>
        <w:t>A.3.13A.4</w:t>
      </w:r>
      <w:r w:rsidRPr="007E489B">
        <w:rPr>
          <w:rFonts w:ascii="Arial" w:hAnsi="Arial"/>
          <w:sz w:val="22"/>
          <w:szCs w:val="22"/>
        </w:rPr>
        <w:tab/>
        <w:t>Principle of Testing in E-UTRA</w:t>
      </w:r>
    </w:p>
    <w:p w14:paraId="04999BFF" w14:textId="77777777" w:rsidR="007E489B" w:rsidRPr="007E489B" w:rsidRDefault="007E489B" w:rsidP="007E489B">
      <w:pPr>
        <w:overflowPunct w:val="0"/>
        <w:autoSpaceDE w:val="0"/>
        <w:autoSpaceDN w:val="0"/>
        <w:adjustRightInd w:val="0"/>
        <w:textAlignment w:val="baseline"/>
        <w:rPr>
          <w:sz w:val="16"/>
          <w:szCs w:val="16"/>
        </w:rPr>
      </w:pPr>
      <w:r w:rsidRPr="007E489B">
        <w:rPr>
          <w:sz w:val="16"/>
          <w:szCs w:val="16"/>
        </w:rPr>
        <w:t>For test cases in clause A.8 listed in Table A.3.13A.4-1, the following applies:</w:t>
      </w:r>
    </w:p>
    <w:p w14:paraId="1402330C" w14:textId="77777777" w:rsidR="007E489B" w:rsidRPr="007E489B" w:rsidRDefault="007E489B" w:rsidP="007E489B">
      <w:pPr>
        <w:pStyle w:val="ListParagraph"/>
        <w:numPr>
          <w:ilvl w:val="0"/>
          <w:numId w:val="31"/>
        </w:numPr>
        <w:overflowPunct w:val="0"/>
        <w:autoSpaceDE w:val="0"/>
        <w:autoSpaceDN w:val="0"/>
        <w:adjustRightInd w:val="0"/>
        <w:textAlignment w:val="baseline"/>
        <w:rPr>
          <w:sz w:val="16"/>
          <w:szCs w:val="16"/>
        </w:rPr>
      </w:pPr>
      <w:r w:rsidRPr="007E489B">
        <w:rPr>
          <w:sz w:val="16"/>
          <w:szCs w:val="16"/>
        </w:rPr>
        <w:t xml:space="preserve">UE does not have to pass the test case. </w:t>
      </w:r>
    </w:p>
    <w:p w14:paraId="336D09AF" w14:textId="77777777" w:rsidR="007E489B" w:rsidRPr="007E489B" w:rsidRDefault="007E489B" w:rsidP="007E489B">
      <w:pPr>
        <w:pStyle w:val="TH"/>
        <w:rPr>
          <w:sz w:val="16"/>
          <w:szCs w:val="16"/>
        </w:rPr>
      </w:pPr>
      <w:r w:rsidRPr="007E489B">
        <w:rPr>
          <w:sz w:val="16"/>
          <w:szCs w:val="16"/>
        </w:rPr>
        <w:t xml:space="preserve">Table A.3.13A.4-1: </w:t>
      </w:r>
      <w:r w:rsidRPr="007E489B">
        <w:rPr>
          <w:sz w:val="16"/>
          <w:szCs w:val="16"/>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7E489B" w:rsidRPr="007E489B" w14:paraId="2C5B7590" w14:textId="77777777" w:rsidTr="00D740B2">
        <w:trPr>
          <w:jc w:val="center"/>
        </w:trPr>
        <w:tc>
          <w:tcPr>
            <w:tcW w:w="1134" w:type="dxa"/>
          </w:tcPr>
          <w:p w14:paraId="79194C7F" w14:textId="77777777" w:rsidR="007E489B" w:rsidRPr="007E489B" w:rsidRDefault="007E489B" w:rsidP="00D740B2">
            <w:pPr>
              <w:spacing w:before="120" w:after="120"/>
              <w:rPr>
                <w:b/>
                <w:bCs/>
                <w:iCs/>
                <w:sz w:val="16"/>
                <w:szCs w:val="16"/>
              </w:rPr>
            </w:pPr>
            <w:r w:rsidRPr="007E489B">
              <w:rPr>
                <w:b/>
                <w:bCs/>
                <w:iCs/>
                <w:sz w:val="16"/>
                <w:szCs w:val="16"/>
              </w:rPr>
              <w:t>Clause</w:t>
            </w:r>
          </w:p>
        </w:tc>
        <w:tc>
          <w:tcPr>
            <w:tcW w:w="6378" w:type="dxa"/>
          </w:tcPr>
          <w:p w14:paraId="5A98A0BE" w14:textId="77777777" w:rsidR="007E489B" w:rsidRPr="007E489B" w:rsidRDefault="007E489B" w:rsidP="00D740B2">
            <w:pPr>
              <w:spacing w:before="120" w:after="120"/>
              <w:rPr>
                <w:b/>
                <w:bCs/>
                <w:iCs/>
                <w:sz w:val="16"/>
                <w:szCs w:val="16"/>
              </w:rPr>
            </w:pPr>
            <w:r w:rsidRPr="007E489B">
              <w:rPr>
                <w:b/>
                <w:bCs/>
                <w:iCs/>
                <w:sz w:val="16"/>
                <w:szCs w:val="16"/>
              </w:rPr>
              <w:t>Test case slogan</w:t>
            </w:r>
          </w:p>
        </w:tc>
      </w:tr>
      <w:tr w:rsidR="007E489B" w:rsidRPr="007E489B" w14:paraId="24956938" w14:textId="77777777" w:rsidTr="00D740B2">
        <w:trPr>
          <w:jc w:val="center"/>
        </w:trPr>
        <w:tc>
          <w:tcPr>
            <w:tcW w:w="1134" w:type="dxa"/>
          </w:tcPr>
          <w:p w14:paraId="4BB9D54D" w14:textId="77777777" w:rsidR="007E489B" w:rsidRPr="007E489B" w:rsidRDefault="007E489B" w:rsidP="00D740B2">
            <w:pPr>
              <w:spacing w:after="0"/>
              <w:rPr>
                <w:iCs/>
                <w:sz w:val="16"/>
                <w:szCs w:val="16"/>
              </w:rPr>
            </w:pPr>
            <w:r w:rsidRPr="007E489B">
              <w:rPr>
                <w:iCs/>
                <w:sz w:val="16"/>
                <w:szCs w:val="16"/>
              </w:rPr>
              <w:t>A.8.4.2.5</w:t>
            </w:r>
          </w:p>
        </w:tc>
        <w:tc>
          <w:tcPr>
            <w:tcW w:w="6378" w:type="dxa"/>
          </w:tcPr>
          <w:p w14:paraId="3338C975" w14:textId="77777777" w:rsidR="007E489B" w:rsidRPr="007E489B" w:rsidRDefault="007E489B" w:rsidP="00D740B2">
            <w:pPr>
              <w:spacing w:after="0"/>
              <w:rPr>
                <w:iCs/>
                <w:sz w:val="16"/>
                <w:szCs w:val="16"/>
              </w:rPr>
            </w:pPr>
            <w:r w:rsidRPr="007E489B">
              <w:rPr>
                <w:iCs/>
                <w:sz w:val="16"/>
                <w:szCs w:val="16"/>
              </w:rPr>
              <w:t>NR Inter-RAT event triggered reporting tests for FR2 without SSB time index detection when DRX is not used</w:t>
            </w:r>
          </w:p>
        </w:tc>
      </w:tr>
      <w:tr w:rsidR="007E489B" w:rsidRPr="007E489B" w14:paraId="65D0D563" w14:textId="77777777" w:rsidTr="00D740B2">
        <w:trPr>
          <w:jc w:val="center"/>
        </w:trPr>
        <w:tc>
          <w:tcPr>
            <w:tcW w:w="1134" w:type="dxa"/>
          </w:tcPr>
          <w:p w14:paraId="12F24969" w14:textId="77777777" w:rsidR="007E489B" w:rsidRPr="007E489B" w:rsidRDefault="007E489B" w:rsidP="00D740B2">
            <w:pPr>
              <w:spacing w:after="0"/>
              <w:rPr>
                <w:iCs/>
                <w:sz w:val="16"/>
                <w:szCs w:val="16"/>
              </w:rPr>
            </w:pPr>
            <w:r w:rsidRPr="007E489B">
              <w:rPr>
                <w:iCs/>
                <w:sz w:val="16"/>
                <w:szCs w:val="16"/>
              </w:rPr>
              <w:t>A.8.4.2.6</w:t>
            </w:r>
          </w:p>
        </w:tc>
        <w:tc>
          <w:tcPr>
            <w:tcW w:w="6378" w:type="dxa"/>
          </w:tcPr>
          <w:p w14:paraId="73F7003B" w14:textId="77777777" w:rsidR="007E489B" w:rsidRPr="007E489B" w:rsidRDefault="007E489B" w:rsidP="00D740B2">
            <w:pPr>
              <w:spacing w:after="0"/>
              <w:rPr>
                <w:iCs/>
                <w:sz w:val="16"/>
                <w:szCs w:val="16"/>
              </w:rPr>
            </w:pPr>
            <w:r w:rsidRPr="007E489B">
              <w:rPr>
                <w:iCs/>
                <w:sz w:val="16"/>
                <w:szCs w:val="16"/>
              </w:rPr>
              <w:t>NR Inter-RAT event triggered reporting tests for FR2 without SSB time index detection when DRX is used</w:t>
            </w:r>
          </w:p>
        </w:tc>
      </w:tr>
      <w:tr w:rsidR="007E489B" w:rsidRPr="007E489B" w14:paraId="6666CD97" w14:textId="77777777" w:rsidTr="00D740B2">
        <w:trPr>
          <w:jc w:val="center"/>
        </w:trPr>
        <w:tc>
          <w:tcPr>
            <w:tcW w:w="1134" w:type="dxa"/>
          </w:tcPr>
          <w:p w14:paraId="17971DD8" w14:textId="77777777" w:rsidR="007E489B" w:rsidRPr="007E489B" w:rsidRDefault="007E489B" w:rsidP="00D740B2">
            <w:pPr>
              <w:spacing w:after="0"/>
              <w:rPr>
                <w:iCs/>
                <w:sz w:val="16"/>
                <w:szCs w:val="16"/>
              </w:rPr>
            </w:pPr>
            <w:r w:rsidRPr="007E489B">
              <w:rPr>
                <w:iCs/>
                <w:sz w:val="16"/>
                <w:szCs w:val="16"/>
              </w:rPr>
              <w:lastRenderedPageBreak/>
              <w:t>A.8.4.2.7</w:t>
            </w:r>
          </w:p>
        </w:tc>
        <w:tc>
          <w:tcPr>
            <w:tcW w:w="6378" w:type="dxa"/>
          </w:tcPr>
          <w:p w14:paraId="1B60AA02" w14:textId="77777777" w:rsidR="007E489B" w:rsidRPr="007E489B" w:rsidRDefault="007E489B" w:rsidP="00D740B2">
            <w:pPr>
              <w:spacing w:after="0"/>
              <w:rPr>
                <w:iCs/>
                <w:sz w:val="16"/>
                <w:szCs w:val="16"/>
              </w:rPr>
            </w:pPr>
            <w:r w:rsidRPr="007E489B">
              <w:rPr>
                <w:iCs/>
                <w:sz w:val="16"/>
                <w:szCs w:val="16"/>
              </w:rPr>
              <w:t>NR Inter-RAT event triggered reporting tests for FR2 with SSB time index detection when DRX is not used</w:t>
            </w:r>
          </w:p>
        </w:tc>
      </w:tr>
      <w:tr w:rsidR="007E489B" w:rsidRPr="007E489B" w14:paraId="14134570" w14:textId="77777777" w:rsidTr="00D740B2">
        <w:trPr>
          <w:jc w:val="center"/>
        </w:trPr>
        <w:tc>
          <w:tcPr>
            <w:tcW w:w="1134" w:type="dxa"/>
          </w:tcPr>
          <w:p w14:paraId="10EA02E8" w14:textId="77777777" w:rsidR="007E489B" w:rsidRPr="007E489B" w:rsidRDefault="007E489B" w:rsidP="00D740B2">
            <w:pPr>
              <w:spacing w:after="0"/>
              <w:rPr>
                <w:iCs/>
                <w:sz w:val="16"/>
                <w:szCs w:val="16"/>
              </w:rPr>
            </w:pPr>
            <w:r w:rsidRPr="007E489B">
              <w:rPr>
                <w:iCs/>
                <w:sz w:val="16"/>
                <w:szCs w:val="16"/>
              </w:rPr>
              <w:t>A.8.4.2.8</w:t>
            </w:r>
          </w:p>
        </w:tc>
        <w:tc>
          <w:tcPr>
            <w:tcW w:w="6378" w:type="dxa"/>
          </w:tcPr>
          <w:p w14:paraId="7C7E4B14" w14:textId="77777777" w:rsidR="007E489B" w:rsidRPr="007E489B" w:rsidRDefault="007E489B" w:rsidP="00D740B2">
            <w:pPr>
              <w:spacing w:after="0"/>
              <w:rPr>
                <w:iCs/>
                <w:sz w:val="16"/>
                <w:szCs w:val="16"/>
              </w:rPr>
            </w:pPr>
            <w:r w:rsidRPr="007E489B">
              <w:rPr>
                <w:iCs/>
                <w:sz w:val="16"/>
                <w:szCs w:val="16"/>
              </w:rPr>
              <w:t>NR Inter-RAT event triggered reporting tests for FR2 with SSB time index detection when DRX is used</w:t>
            </w:r>
          </w:p>
        </w:tc>
      </w:tr>
    </w:tbl>
    <w:p w14:paraId="5EBCAA13" w14:textId="77777777" w:rsidR="007E489B" w:rsidRPr="007E489B" w:rsidRDefault="007E489B" w:rsidP="007E489B">
      <w:pPr>
        <w:rPr>
          <w:sz w:val="18"/>
          <w:szCs w:val="18"/>
        </w:rPr>
      </w:pPr>
    </w:p>
    <w:sectPr w:rsidR="007E489B" w:rsidRPr="007E489B"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44E12" w14:textId="77777777" w:rsidR="00870905" w:rsidRDefault="00870905">
      <w:r>
        <w:separator/>
      </w:r>
    </w:p>
  </w:endnote>
  <w:endnote w:type="continuationSeparator" w:id="0">
    <w:p w14:paraId="2012114F" w14:textId="77777777" w:rsidR="00870905" w:rsidRDefault="0087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55D18" w:rsidRDefault="00F55D1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55D18" w:rsidRDefault="00F55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55D18" w:rsidRDefault="00F55D1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55D18" w:rsidRDefault="00F55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55D18" w:rsidRDefault="00F55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B1C77" w14:textId="77777777" w:rsidR="00870905" w:rsidRDefault="00870905">
      <w:r>
        <w:separator/>
      </w:r>
    </w:p>
  </w:footnote>
  <w:footnote w:type="continuationSeparator" w:id="0">
    <w:p w14:paraId="453C0088" w14:textId="77777777" w:rsidR="00870905" w:rsidRDefault="00870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55D18" w:rsidRDefault="00F55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55D18" w:rsidRDefault="00F55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55D18" w:rsidRDefault="00F55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C3009"/>
    <w:multiLevelType w:val="hybridMultilevel"/>
    <w:tmpl w:val="64044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F5884"/>
    <w:multiLevelType w:val="hybridMultilevel"/>
    <w:tmpl w:val="75025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04E65"/>
    <w:multiLevelType w:val="hybridMultilevel"/>
    <w:tmpl w:val="58A8AA78"/>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59100E04">
      <w:start w:val="20462"/>
      <w:numFmt w:val="bullet"/>
      <w:lvlText w:val="•"/>
      <w:lvlJc w:val="left"/>
      <w:pPr>
        <w:tabs>
          <w:tab w:val="num" w:pos="2084"/>
        </w:tabs>
        <w:ind w:left="2084" w:hanging="360"/>
      </w:pPr>
      <w:rPr>
        <w:rFonts w:ascii="Arial" w:hAnsi="Arial" w:hint="default"/>
      </w:rPr>
    </w:lvl>
    <w:lvl w:ilvl="3" w:tplc="AC76C8DC">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5" w15:restartNumberingAfterBreak="0">
    <w:nsid w:val="274F3D13"/>
    <w:multiLevelType w:val="hybridMultilevel"/>
    <w:tmpl w:val="6A56CE22"/>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2ABE3D98">
      <w:start w:val="1"/>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6" w15:restartNumberingAfterBreak="0">
    <w:nsid w:val="29A31F3B"/>
    <w:multiLevelType w:val="hybridMultilevel"/>
    <w:tmpl w:val="133AE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700164"/>
    <w:multiLevelType w:val="hybridMultilevel"/>
    <w:tmpl w:val="F350D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30059"/>
    <w:multiLevelType w:val="hybridMultilevel"/>
    <w:tmpl w:val="F2648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C387836"/>
    <w:multiLevelType w:val="hybridMultilevel"/>
    <w:tmpl w:val="EF32F086"/>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11" w15:restartNumberingAfterBreak="0">
    <w:nsid w:val="3DA22BDD"/>
    <w:multiLevelType w:val="hybridMultilevel"/>
    <w:tmpl w:val="EF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2AC6FF2"/>
    <w:multiLevelType w:val="hybridMultilevel"/>
    <w:tmpl w:val="C12E9CA8"/>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14" w15:restartNumberingAfterBreak="0">
    <w:nsid w:val="54714C8E"/>
    <w:multiLevelType w:val="hybridMultilevel"/>
    <w:tmpl w:val="9DC40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1019DB"/>
    <w:multiLevelType w:val="hybridMultilevel"/>
    <w:tmpl w:val="41781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0A440EA"/>
    <w:multiLevelType w:val="hybridMultilevel"/>
    <w:tmpl w:val="35D6A6E6"/>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19" w15:restartNumberingAfterBreak="0">
    <w:nsid w:val="61332D71"/>
    <w:multiLevelType w:val="hybridMultilevel"/>
    <w:tmpl w:val="1220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8439AA"/>
    <w:multiLevelType w:val="hybridMultilevel"/>
    <w:tmpl w:val="BFB636A6"/>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2ABE3D98">
      <w:start w:val="1"/>
      <w:numFmt w:val="bullet"/>
      <w:lvlText w:val="−"/>
      <w:lvlJc w:val="left"/>
      <w:pPr>
        <w:tabs>
          <w:tab w:val="num" w:pos="2084"/>
        </w:tabs>
        <w:ind w:left="2084" w:hanging="360"/>
      </w:pPr>
      <w:rPr>
        <w:rFonts w:ascii="Arial" w:hAnsi="Arial" w:hint="default"/>
      </w:rPr>
    </w:lvl>
    <w:lvl w:ilvl="3" w:tplc="2ABE3D98">
      <w:start w:val="1"/>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21" w15:restartNumberingAfterBreak="0">
    <w:nsid w:val="63CE303A"/>
    <w:multiLevelType w:val="hybridMultilevel"/>
    <w:tmpl w:val="D60E928C"/>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22" w15:restartNumberingAfterBreak="0">
    <w:nsid w:val="67B96288"/>
    <w:multiLevelType w:val="hybridMultilevel"/>
    <w:tmpl w:val="9D4AC6EA"/>
    <w:lvl w:ilvl="0" w:tplc="64A0E758">
      <w:start w:val="1"/>
      <w:numFmt w:val="decimal"/>
      <w:lvlText w:val="%1."/>
      <w:lvlJc w:val="left"/>
      <w:pPr>
        <w:tabs>
          <w:tab w:val="num" w:pos="644"/>
        </w:tabs>
        <w:ind w:left="644" w:hanging="360"/>
      </w:pPr>
    </w:lvl>
    <w:lvl w:ilvl="1" w:tplc="AC76C8DC">
      <w:start w:val="20462"/>
      <w:numFmt w:val="bullet"/>
      <w:lvlText w:val="•"/>
      <w:lvlJc w:val="left"/>
      <w:pPr>
        <w:tabs>
          <w:tab w:val="num" w:pos="1364"/>
        </w:tabs>
        <w:ind w:left="1364" w:hanging="360"/>
      </w:pPr>
      <w:rPr>
        <w:rFonts w:ascii="Arial" w:hAnsi="Arial" w:hint="default"/>
      </w:rPr>
    </w:lvl>
    <w:lvl w:ilvl="2" w:tplc="2ABE3D98">
      <w:start w:val="1"/>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2066B2"/>
    <w:multiLevelType w:val="hybridMultilevel"/>
    <w:tmpl w:val="26AAB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7B1417C4"/>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4082462"/>
    <w:multiLevelType w:val="hybridMultilevel"/>
    <w:tmpl w:val="1668E588"/>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27" w15:restartNumberingAfterBreak="0">
    <w:nsid w:val="78DB2F36"/>
    <w:multiLevelType w:val="hybridMultilevel"/>
    <w:tmpl w:val="F30A58D6"/>
    <w:lvl w:ilvl="0" w:tplc="64A0E758">
      <w:start w:val="1"/>
      <w:numFmt w:val="decimal"/>
      <w:lvlText w:val="%1."/>
      <w:lvlJc w:val="left"/>
      <w:pPr>
        <w:tabs>
          <w:tab w:val="num" w:pos="644"/>
        </w:tabs>
        <w:ind w:left="644" w:hanging="360"/>
      </w:pPr>
    </w:lvl>
    <w:lvl w:ilvl="1" w:tplc="041D0005">
      <w:start w:val="1"/>
      <w:numFmt w:val="bullet"/>
      <w:lvlText w:val=""/>
      <w:lvlJc w:val="left"/>
      <w:pPr>
        <w:tabs>
          <w:tab w:val="num" w:pos="1364"/>
        </w:tabs>
        <w:ind w:left="1364" w:hanging="360"/>
      </w:pPr>
      <w:rPr>
        <w:rFonts w:ascii="Wingdings" w:hAnsi="Wingdings" w:hint="default"/>
      </w:rPr>
    </w:lvl>
    <w:lvl w:ilvl="2" w:tplc="59100E04">
      <w:start w:val="20462"/>
      <w:numFmt w:val="bullet"/>
      <w:lvlText w:val="•"/>
      <w:lvlJc w:val="left"/>
      <w:pPr>
        <w:tabs>
          <w:tab w:val="num" w:pos="2084"/>
        </w:tabs>
        <w:ind w:left="2084" w:hanging="360"/>
      </w:pPr>
      <w:rPr>
        <w:rFonts w:ascii="Arial" w:hAnsi="Arial" w:hint="default"/>
      </w:rPr>
    </w:lvl>
    <w:lvl w:ilvl="3" w:tplc="0922A516">
      <w:start w:val="20462"/>
      <w:numFmt w:val="bullet"/>
      <w:lvlText w:val="•"/>
      <w:lvlJc w:val="left"/>
      <w:pPr>
        <w:tabs>
          <w:tab w:val="num" w:pos="2804"/>
        </w:tabs>
        <w:ind w:left="2804" w:hanging="360"/>
      </w:pPr>
      <w:rPr>
        <w:rFonts w:ascii="Arial" w:hAnsi="Arial" w:hint="default"/>
      </w:rPr>
    </w:lvl>
    <w:lvl w:ilvl="4" w:tplc="DF24F364" w:tentative="1">
      <w:start w:val="1"/>
      <w:numFmt w:val="decimal"/>
      <w:lvlText w:val="%5."/>
      <w:lvlJc w:val="left"/>
      <w:pPr>
        <w:tabs>
          <w:tab w:val="num" w:pos="3524"/>
        </w:tabs>
        <w:ind w:left="3524" w:hanging="360"/>
      </w:pPr>
    </w:lvl>
    <w:lvl w:ilvl="5" w:tplc="DD98A0C2" w:tentative="1">
      <w:start w:val="1"/>
      <w:numFmt w:val="decimal"/>
      <w:lvlText w:val="%6."/>
      <w:lvlJc w:val="left"/>
      <w:pPr>
        <w:tabs>
          <w:tab w:val="num" w:pos="4244"/>
        </w:tabs>
        <w:ind w:left="4244" w:hanging="360"/>
      </w:pPr>
    </w:lvl>
    <w:lvl w:ilvl="6" w:tplc="CF940422" w:tentative="1">
      <w:start w:val="1"/>
      <w:numFmt w:val="decimal"/>
      <w:lvlText w:val="%7."/>
      <w:lvlJc w:val="left"/>
      <w:pPr>
        <w:tabs>
          <w:tab w:val="num" w:pos="4964"/>
        </w:tabs>
        <w:ind w:left="4964" w:hanging="360"/>
      </w:pPr>
    </w:lvl>
    <w:lvl w:ilvl="7" w:tplc="DFCC42AC" w:tentative="1">
      <w:start w:val="1"/>
      <w:numFmt w:val="decimal"/>
      <w:lvlText w:val="%8."/>
      <w:lvlJc w:val="left"/>
      <w:pPr>
        <w:tabs>
          <w:tab w:val="num" w:pos="5684"/>
        </w:tabs>
        <w:ind w:left="5684" w:hanging="360"/>
      </w:pPr>
    </w:lvl>
    <w:lvl w:ilvl="8" w:tplc="23A016D2" w:tentative="1">
      <w:start w:val="1"/>
      <w:numFmt w:val="decimal"/>
      <w:lvlText w:val="%9."/>
      <w:lvlJc w:val="left"/>
      <w:pPr>
        <w:tabs>
          <w:tab w:val="num" w:pos="6404"/>
        </w:tabs>
        <w:ind w:left="6404" w:hanging="360"/>
      </w:p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25"/>
  </w:num>
  <w:num w:numId="4">
    <w:abstractNumId w:val="9"/>
  </w:num>
  <w:num w:numId="5">
    <w:abstractNumId w:val="12"/>
  </w:num>
  <w:num w:numId="6">
    <w:abstractNumId w:val="1"/>
  </w:num>
  <w:num w:numId="7">
    <w:abstractNumId w:val="0"/>
  </w:num>
  <w:num w:numId="8">
    <w:abstractNumId w:val="30"/>
  </w:num>
  <w:num w:numId="9">
    <w:abstractNumId w:val="16"/>
  </w:num>
  <w:num w:numId="10">
    <w:abstractNumId w:val="23"/>
  </w:num>
  <w:num w:numId="11">
    <w:abstractNumId w:val="11"/>
  </w:num>
  <w:num w:numId="12">
    <w:abstractNumId w:val="3"/>
  </w:num>
  <w:num w:numId="13">
    <w:abstractNumId w:val="6"/>
  </w:num>
  <w:num w:numId="14">
    <w:abstractNumId w:val="24"/>
  </w:num>
  <w:num w:numId="15">
    <w:abstractNumId w:val="2"/>
  </w:num>
  <w:num w:numId="16">
    <w:abstractNumId w:val="13"/>
  </w:num>
  <w:num w:numId="17">
    <w:abstractNumId w:val="21"/>
  </w:num>
  <w:num w:numId="18">
    <w:abstractNumId w:val="27"/>
  </w:num>
  <w:num w:numId="19">
    <w:abstractNumId w:val="10"/>
  </w:num>
  <w:num w:numId="20">
    <w:abstractNumId w:val="18"/>
  </w:num>
  <w:num w:numId="21">
    <w:abstractNumId w:val="26"/>
  </w:num>
  <w:num w:numId="22">
    <w:abstractNumId w:val="20"/>
  </w:num>
  <w:num w:numId="23">
    <w:abstractNumId w:val="5"/>
  </w:num>
  <w:num w:numId="24">
    <w:abstractNumId w:val="22"/>
  </w:num>
  <w:num w:numId="25">
    <w:abstractNumId w:val="4"/>
  </w:num>
  <w:num w:numId="26">
    <w:abstractNumId w:val="14"/>
  </w:num>
  <w:num w:numId="27">
    <w:abstractNumId w:val="15"/>
  </w:num>
  <w:num w:numId="28">
    <w:abstractNumId w:val="8"/>
  </w:num>
  <w:num w:numId="29">
    <w:abstractNumId w:val="19"/>
  </w:num>
  <w:num w:numId="30">
    <w:abstractNumId w:val="7"/>
  </w:num>
  <w:num w:numId="31">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890"/>
    <w:rsid w:val="00023D9A"/>
    <w:rsid w:val="000244C3"/>
    <w:rsid w:val="00024636"/>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378D"/>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57A0E"/>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4238"/>
    <w:rsid w:val="000743BF"/>
    <w:rsid w:val="000745B0"/>
    <w:rsid w:val="0007534B"/>
    <w:rsid w:val="00075604"/>
    <w:rsid w:val="0007674A"/>
    <w:rsid w:val="00076AA4"/>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707"/>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363"/>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9F3"/>
    <w:rsid w:val="000E0B89"/>
    <w:rsid w:val="000E0F80"/>
    <w:rsid w:val="000E1269"/>
    <w:rsid w:val="000E16CE"/>
    <w:rsid w:val="000E2506"/>
    <w:rsid w:val="000E254D"/>
    <w:rsid w:val="000E2562"/>
    <w:rsid w:val="000E25B6"/>
    <w:rsid w:val="000E2C98"/>
    <w:rsid w:val="000E3A62"/>
    <w:rsid w:val="000E40D4"/>
    <w:rsid w:val="000E4402"/>
    <w:rsid w:val="000E48B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B0E"/>
    <w:rsid w:val="00110C3F"/>
    <w:rsid w:val="00110E5E"/>
    <w:rsid w:val="00110F9D"/>
    <w:rsid w:val="00111C3F"/>
    <w:rsid w:val="001120F5"/>
    <w:rsid w:val="00112624"/>
    <w:rsid w:val="00112DDD"/>
    <w:rsid w:val="0011328A"/>
    <w:rsid w:val="00113348"/>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B4E"/>
    <w:rsid w:val="00125B8C"/>
    <w:rsid w:val="00125D6F"/>
    <w:rsid w:val="00126EB9"/>
    <w:rsid w:val="00126FC2"/>
    <w:rsid w:val="001276CA"/>
    <w:rsid w:val="0013019C"/>
    <w:rsid w:val="00131312"/>
    <w:rsid w:val="00131978"/>
    <w:rsid w:val="00131A3B"/>
    <w:rsid w:val="001321C2"/>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0C28"/>
    <w:rsid w:val="00140EAC"/>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4EEB"/>
    <w:rsid w:val="00155C09"/>
    <w:rsid w:val="001560F8"/>
    <w:rsid w:val="0015643C"/>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2B4"/>
    <w:rsid w:val="001776B3"/>
    <w:rsid w:val="00177E47"/>
    <w:rsid w:val="00180382"/>
    <w:rsid w:val="00180623"/>
    <w:rsid w:val="00180887"/>
    <w:rsid w:val="001808D9"/>
    <w:rsid w:val="00180EFD"/>
    <w:rsid w:val="00181669"/>
    <w:rsid w:val="001817B0"/>
    <w:rsid w:val="00181D1F"/>
    <w:rsid w:val="001820E3"/>
    <w:rsid w:val="00182C57"/>
    <w:rsid w:val="00182D3C"/>
    <w:rsid w:val="00182FEF"/>
    <w:rsid w:val="00182FF1"/>
    <w:rsid w:val="00183697"/>
    <w:rsid w:val="00183A8D"/>
    <w:rsid w:val="001842BA"/>
    <w:rsid w:val="001842EE"/>
    <w:rsid w:val="001842F0"/>
    <w:rsid w:val="00184381"/>
    <w:rsid w:val="001855F8"/>
    <w:rsid w:val="001857ED"/>
    <w:rsid w:val="00185A85"/>
    <w:rsid w:val="00185AFD"/>
    <w:rsid w:val="00185FC7"/>
    <w:rsid w:val="00186A2B"/>
    <w:rsid w:val="001878E9"/>
    <w:rsid w:val="00187908"/>
    <w:rsid w:val="00187E3C"/>
    <w:rsid w:val="00187F68"/>
    <w:rsid w:val="00190668"/>
    <w:rsid w:val="0019095C"/>
    <w:rsid w:val="00190CFB"/>
    <w:rsid w:val="00190F04"/>
    <w:rsid w:val="001912D5"/>
    <w:rsid w:val="0019164E"/>
    <w:rsid w:val="001920BE"/>
    <w:rsid w:val="0019238D"/>
    <w:rsid w:val="00192905"/>
    <w:rsid w:val="0019334F"/>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FE3"/>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0C33"/>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21B"/>
    <w:rsid w:val="001C29A9"/>
    <w:rsid w:val="001C2A18"/>
    <w:rsid w:val="001C2BA8"/>
    <w:rsid w:val="001C30D6"/>
    <w:rsid w:val="001C3512"/>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3D9F"/>
    <w:rsid w:val="001D40CE"/>
    <w:rsid w:val="001D47D1"/>
    <w:rsid w:val="001D4BC3"/>
    <w:rsid w:val="001D500E"/>
    <w:rsid w:val="001D586D"/>
    <w:rsid w:val="001D5AED"/>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2E"/>
    <w:rsid w:val="002157F6"/>
    <w:rsid w:val="0021648D"/>
    <w:rsid w:val="00216C45"/>
    <w:rsid w:val="00217537"/>
    <w:rsid w:val="00217CE3"/>
    <w:rsid w:val="00217D0D"/>
    <w:rsid w:val="00221280"/>
    <w:rsid w:val="00221793"/>
    <w:rsid w:val="00221EA8"/>
    <w:rsid w:val="00222371"/>
    <w:rsid w:val="00222443"/>
    <w:rsid w:val="002239B0"/>
    <w:rsid w:val="00223A24"/>
    <w:rsid w:val="00224D6A"/>
    <w:rsid w:val="002251BD"/>
    <w:rsid w:val="0022547F"/>
    <w:rsid w:val="00225680"/>
    <w:rsid w:val="00226453"/>
    <w:rsid w:val="00226602"/>
    <w:rsid w:val="00226610"/>
    <w:rsid w:val="00226DDB"/>
    <w:rsid w:val="00226E2E"/>
    <w:rsid w:val="00227498"/>
    <w:rsid w:val="0023025C"/>
    <w:rsid w:val="00231138"/>
    <w:rsid w:val="00231219"/>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4DA6"/>
    <w:rsid w:val="00245157"/>
    <w:rsid w:val="00245A14"/>
    <w:rsid w:val="002468A6"/>
    <w:rsid w:val="00246BDE"/>
    <w:rsid w:val="002475E9"/>
    <w:rsid w:val="00247CD9"/>
    <w:rsid w:val="00250AB9"/>
    <w:rsid w:val="00250E8D"/>
    <w:rsid w:val="00250FC3"/>
    <w:rsid w:val="0025113E"/>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4532"/>
    <w:rsid w:val="002658AB"/>
    <w:rsid w:val="00265DE2"/>
    <w:rsid w:val="00265ED7"/>
    <w:rsid w:val="002662B7"/>
    <w:rsid w:val="00266652"/>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779BD"/>
    <w:rsid w:val="002801CF"/>
    <w:rsid w:val="00280203"/>
    <w:rsid w:val="002806B0"/>
    <w:rsid w:val="00280A66"/>
    <w:rsid w:val="00281CBF"/>
    <w:rsid w:val="0028200B"/>
    <w:rsid w:val="00282E6A"/>
    <w:rsid w:val="00282EDB"/>
    <w:rsid w:val="002830CA"/>
    <w:rsid w:val="00283507"/>
    <w:rsid w:val="002835E0"/>
    <w:rsid w:val="00283ECC"/>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3CE8"/>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1DA2"/>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3"/>
    <w:rsid w:val="002D2B7D"/>
    <w:rsid w:val="002D385F"/>
    <w:rsid w:val="002D3907"/>
    <w:rsid w:val="002D3AFB"/>
    <w:rsid w:val="002D3FB9"/>
    <w:rsid w:val="002D42DA"/>
    <w:rsid w:val="002D470F"/>
    <w:rsid w:val="002D4823"/>
    <w:rsid w:val="002D50FC"/>
    <w:rsid w:val="002D529E"/>
    <w:rsid w:val="002D5485"/>
    <w:rsid w:val="002D5CA1"/>
    <w:rsid w:val="002D5CCC"/>
    <w:rsid w:val="002D6D74"/>
    <w:rsid w:val="002D6EE7"/>
    <w:rsid w:val="002D728E"/>
    <w:rsid w:val="002D74BB"/>
    <w:rsid w:val="002E0B18"/>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A4F"/>
    <w:rsid w:val="00315B37"/>
    <w:rsid w:val="00315CE9"/>
    <w:rsid w:val="00315FAD"/>
    <w:rsid w:val="003161AC"/>
    <w:rsid w:val="003163CB"/>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682"/>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A16"/>
    <w:rsid w:val="00350B61"/>
    <w:rsid w:val="00351034"/>
    <w:rsid w:val="0035114E"/>
    <w:rsid w:val="003515AC"/>
    <w:rsid w:val="00351856"/>
    <w:rsid w:val="00351D02"/>
    <w:rsid w:val="003522A3"/>
    <w:rsid w:val="003524BF"/>
    <w:rsid w:val="0035333D"/>
    <w:rsid w:val="0035359A"/>
    <w:rsid w:val="00353C0E"/>
    <w:rsid w:val="00353CE5"/>
    <w:rsid w:val="00354378"/>
    <w:rsid w:val="00354883"/>
    <w:rsid w:val="00354D03"/>
    <w:rsid w:val="0035531E"/>
    <w:rsid w:val="003560D1"/>
    <w:rsid w:val="00356B36"/>
    <w:rsid w:val="003573F2"/>
    <w:rsid w:val="00357639"/>
    <w:rsid w:val="003577DF"/>
    <w:rsid w:val="003577F9"/>
    <w:rsid w:val="0035780F"/>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C56"/>
    <w:rsid w:val="00372E76"/>
    <w:rsid w:val="00372EC7"/>
    <w:rsid w:val="00374016"/>
    <w:rsid w:val="00374054"/>
    <w:rsid w:val="00374335"/>
    <w:rsid w:val="00375B14"/>
    <w:rsid w:val="00376177"/>
    <w:rsid w:val="003765B8"/>
    <w:rsid w:val="00376E40"/>
    <w:rsid w:val="00376E6F"/>
    <w:rsid w:val="0037742D"/>
    <w:rsid w:val="0037748B"/>
    <w:rsid w:val="003778F1"/>
    <w:rsid w:val="00377CC0"/>
    <w:rsid w:val="00380233"/>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C7D"/>
    <w:rsid w:val="00394D90"/>
    <w:rsid w:val="00395336"/>
    <w:rsid w:val="00395D27"/>
    <w:rsid w:val="00396196"/>
    <w:rsid w:val="0039625F"/>
    <w:rsid w:val="00397476"/>
    <w:rsid w:val="003A04C3"/>
    <w:rsid w:val="003A05DC"/>
    <w:rsid w:val="003A089C"/>
    <w:rsid w:val="003A0960"/>
    <w:rsid w:val="003A09AE"/>
    <w:rsid w:val="003A0EC7"/>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75"/>
    <w:rsid w:val="003A6AEA"/>
    <w:rsid w:val="003A6B31"/>
    <w:rsid w:val="003A6F33"/>
    <w:rsid w:val="003A7592"/>
    <w:rsid w:val="003A7DD5"/>
    <w:rsid w:val="003B01ED"/>
    <w:rsid w:val="003B0864"/>
    <w:rsid w:val="003B0AC1"/>
    <w:rsid w:val="003B1001"/>
    <w:rsid w:val="003B19C6"/>
    <w:rsid w:val="003B2678"/>
    <w:rsid w:val="003B2F84"/>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50F"/>
    <w:rsid w:val="003C662E"/>
    <w:rsid w:val="003C6C39"/>
    <w:rsid w:val="003C707D"/>
    <w:rsid w:val="003C70A7"/>
    <w:rsid w:val="003C71B9"/>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381"/>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0ADE"/>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552"/>
    <w:rsid w:val="004076DE"/>
    <w:rsid w:val="004107E5"/>
    <w:rsid w:val="00410CB0"/>
    <w:rsid w:val="00412618"/>
    <w:rsid w:val="0041278B"/>
    <w:rsid w:val="004138E6"/>
    <w:rsid w:val="00413C10"/>
    <w:rsid w:val="0041400B"/>
    <w:rsid w:val="004140E3"/>
    <w:rsid w:val="004140FA"/>
    <w:rsid w:val="00414DCA"/>
    <w:rsid w:val="00414DDB"/>
    <w:rsid w:val="004156F4"/>
    <w:rsid w:val="00415B6F"/>
    <w:rsid w:val="0041666F"/>
    <w:rsid w:val="0041695C"/>
    <w:rsid w:val="004170FF"/>
    <w:rsid w:val="004176A0"/>
    <w:rsid w:val="00417C33"/>
    <w:rsid w:val="004200F8"/>
    <w:rsid w:val="004203D6"/>
    <w:rsid w:val="0042074A"/>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73D"/>
    <w:rsid w:val="00446E3A"/>
    <w:rsid w:val="004479E2"/>
    <w:rsid w:val="00447D76"/>
    <w:rsid w:val="004502FF"/>
    <w:rsid w:val="0045074A"/>
    <w:rsid w:val="004510C2"/>
    <w:rsid w:val="0045141B"/>
    <w:rsid w:val="00451484"/>
    <w:rsid w:val="00451C84"/>
    <w:rsid w:val="00453001"/>
    <w:rsid w:val="00453664"/>
    <w:rsid w:val="00453B6C"/>
    <w:rsid w:val="00453F92"/>
    <w:rsid w:val="00454637"/>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660"/>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15"/>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220"/>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54E"/>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496"/>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150D"/>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CA2"/>
    <w:rsid w:val="00537F01"/>
    <w:rsid w:val="0054052A"/>
    <w:rsid w:val="005405D6"/>
    <w:rsid w:val="00540750"/>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62D"/>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14"/>
    <w:rsid w:val="00557FF1"/>
    <w:rsid w:val="0056052F"/>
    <w:rsid w:val="00560716"/>
    <w:rsid w:val="0056099D"/>
    <w:rsid w:val="005610E4"/>
    <w:rsid w:val="00561557"/>
    <w:rsid w:val="00562029"/>
    <w:rsid w:val="00562420"/>
    <w:rsid w:val="0056259F"/>
    <w:rsid w:val="005629B3"/>
    <w:rsid w:val="005630E6"/>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5B7"/>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5762"/>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009"/>
    <w:rsid w:val="005D190F"/>
    <w:rsid w:val="005D1C1E"/>
    <w:rsid w:val="005D1FEA"/>
    <w:rsid w:val="005D23E4"/>
    <w:rsid w:val="005D2805"/>
    <w:rsid w:val="005D2946"/>
    <w:rsid w:val="005D3F2D"/>
    <w:rsid w:val="005D42AC"/>
    <w:rsid w:val="005D461D"/>
    <w:rsid w:val="005D46B5"/>
    <w:rsid w:val="005D475F"/>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30D3"/>
    <w:rsid w:val="005E33A3"/>
    <w:rsid w:val="005E34AA"/>
    <w:rsid w:val="005E3958"/>
    <w:rsid w:val="005E3E81"/>
    <w:rsid w:val="005E3EDB"/>
    <w:rsid w:val="005E458C"/>
    <w:rsid w:val="005E4D50"/>
    <w:rsid w:val="005E4DB9"/>
    <w:rsid w:val="005E4DEA"/>
    <w:rsid w:val="005E63E1"/>
    <w:rsid w:val="005E739F"/>
    <w:rsid w:val="005E754E"/>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15F9"/>
    <w:rsid w:val="0061223D"/>
    <w:rsid w:val="006125BA"/>
    <w:rsid w:val="00612730"/>
    <w:rsid w:val="00612849"/>
    <w:rsid w:val="00612DC4"/>
    <w:rsid w:val="006134C5"/>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06F"/>
    <w:rsid w:val="0062753C"/>
    <w:rsid w:val="00627EDF"/>
    <w:rsid w:val="006300AC"/>
    <w:rsid w:val="00630EDF"/>
    <w:rsid w:val="006315A7"/>
    <w:rsid w:val="00631762"/>
    <w:rsid w:val="00631BDC"/>
    <w:rsid w:val="0063227B"/>
    <w:rsid w:val="0063241D"/>
    <w:rsid w:val="0063281F"/>
    <w:rsid w:val="00632BA4"/>
    <w:rsid w:val="0063329B"/>
    <w:rsid w:val="006332A1"/>
    <w:rsid w:val="0063345F"/>
    <w:rsid w:val="006337F4"/>
    <w:rsid w:val="00633E25"/>
    <w:rsid w:val="006341A7"/>
    <w:rsid w:val="00634490"/>
    <w:rsid w:val="00634B0E"/>
    <w:rsid w:val="00634B35"/>
    <w:rsid w:val="00635289"/>
    <w:rsid w:val="00635294"/>
    <w:rsid w:val="006355F4"/>
    <w:rsid w:val="00635926"/>
    <w:rsid w:val="006360F5"/>
    <w:rsid w:val="0063631E"/>
    <w:rsid w:val="00636A1B"/>
    <w:rsid w:val="00637721"/>
    <w:rsid w:val="00637971"/>
    <w:rsid w:val="0063799C"/>
    <w:rsid w:val="00637D7A"/>
    <w:rsid w:val="0064080D"/>
    <w:rsid w:val="00640879"/>
    <w:rsid w:val="00640F3F"/>
    <w:rsid w:val="00641B79"/>
    <w:rsid w:val="00641CEF"/>
    <w:rsid w:val="0064268E"/>
    <w:rsid w:val="00642A65"/>
    <w:rsid w:val="00643300"/>
    <w:rsid w:val="00643993"/>
    <w:rsid w:val="00643C79"/>
    <w:rsid w:val="0064425A"/>
    <w:rsid w:val="00644AF1"/>
    <w:rsid w:val="00644EBE"/>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CE6"/>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14"/>
    <w:rsid w:val="006A4F90"/>
    <w:rsid w:val="006A5255"/>
    <w:rsid w:val="006A5D7B"/>
    <w:rsid w:val="006A633A"/>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3FB"/>
    <w:rsid w:val="006C15BB"/>
    <w:rsid w:val="006C16C8"/>
    <w:rsid w:val="006C1A4B"/>
    <w:rsid w:val="006C1B58"/>
    <w:rsid w:val="006C1F79"/>
    <w:rsid w:val="006C2329"/>
    <w:rsid w:val="006C25D3"/>
    <w:rsid w:val="006C36D0"/>
    <w:rsid w:val="006C384C"/>
    <w:rsid w:val="006C4091"/>
    <w:rsid w:val="006C41CC"/>
    <w:rsid w:val="006C4211"/>
    <w:rsid w:val="006C4680"/>
    <w:rsid w:val="006C48C8"/>
    <w:rsid w:val="006C4A8E"/>
    <w:rsid w:val="006C588E"/>
    <w:rsid w:val="006C63A6"/>
    <w:rsid w:val="006C6622"/>
    <w:rsid w:val="006C6ABD"/>
    <w:rsid w:val="006C7816"/>
    <w:rsid w:val="006C796C"/>
    <w:rsid w:val="006C7B68"/>
    <w:rsid w:val="006D00B2"/>
    <w:rsid w:val="006D12E6"/>
    <w:rsid w:val="006D206D"/>
    <w:rsid w:val="006D2BA5"/>
    <w:rsid w:val="006D2D1E"/>
    <w:rsid w:val="006D3226"/>
    <w:rsid w:val="006D35DA"/>
    <w:rsid w:val="006D3740"/>
    <w:rsid w:val="006D384A"/>
    <w:rsid w:val="006D40A3"/>
    <w:rsid w:val="006D4D31"/>
    <w:rsid w:val="006D599E"/>
    <w:rsid w:val="006D5FE2"/>
    <w:rsid w:val="006D6833"/>
    <w:rsid w:val="006D6976"/>
    <w:rsid w:val="006D6EF4"/>
    <w:rsid w:val="006D71B1"/>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298"/>
    <w:rsid w:val="006F390D"/>
    <w:rsid w:val="006F6047"/>
    <w:rsid w:val="006F618C"/>
    <w:rsid w:val="006F62AA"/>
    <w:rsid w:val="006F6CEC"/>
    <w:rsid w:val="007006CE"/>
    <w:rsid w:val="00701665"/>
    <w:rsid w:val="00701893"/>
    <w:rsid w:val="007018A8"/>
    <w:rsid w:val="00701D34"/>
    <w:rsid w:val="007027A3"/>
    <w:rsid w:val="00702867"/>
    <w:rsid w:val="00702FAD"/>
    <w:rsid w:val="0070316E"/>
    <w:rsid w:val="00703BBD"/>
    <w:rsid w:val="00703E64"/>
    <w:rsid w:val="0070458B"/>
    <w:rsid w:val="0070462E"/>
    <w:rsid w:val="007047BA"/>
    <w:rsid w:val="0070485F"/>
    <w:rsid w:val="007048C6"/>
    <w:rsid w:val="00704C57"/>
    <w:rsid w:val="00705272"/>
    <w:rsid w:val="007053FA"/>
    <w:rsid w:val="007055CB"/>
    <w:rsid w:val="00705DBE"/>
    <w:rsid w:val="00706E2E"/>
    <w:rsid w:val="007076FC"/>
    <w:rsid w:val="00710540"/>
    <w:rsid w:val="007105AE"/>
    <w:rsid w:val="00710ECC"/>
    <w:rsid w:val="00710FC7"/>
    <w:rsid w:val="007113AF"/>
    <w:rsid w:val="0071258F"/>
    <w:rsid w:val="00712626"/>
    <w:rsid w:val="00712E03"/>
    <w:rsid w:val="0071349D"/>
    <w:rsid w:val="0071352A"/>
    <w:rsid w:val="0071357F"/>
    <w:rsid w:val="00713A0F"/>
    <w:rsid w:val="007140DA"/>
    <w:rsid w:val="007141A0"/>
    <w:rsid w:val="00714572"/>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CB6"/>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946"/>
    <w:rsid w:val="00757D11"/>
    <w:rsid w:val="00760074"/>
    <w:rsid w:val="007604CE"/>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D00"/>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6A8E"/>
    <w:rsid w:val="00787007"/>
    <w:rsid w:val="00787035"/>
    <w:rsid w:val="00787DB6"/>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A5B"/>
    <w:rsid w:val="00797B75"/>
    <w:rsid w:val="00797D83"/>
    <w:rsid w:val="007A0275"/>
    <w:rsid w:val="007A066B"/>
    <w:rsid w:val="007A0827"/>
    <w:rsid w:val="007A0DE1"/>
    <w:rsid w:val="007A25FC"/>
    <w:rsid w:val="007A2A54"/>
    <w:rsid w:val="007A2ECC"/>
    <w:rsid w:val="007A30F8"/>
    <w:rsid w:val="007A38F0"/>
    <w:rsid w:val="007A3E37"/>
    <w:rsid w:val="007A3E39"/>
    <w:rsid w:val="007A47CB"/>
    <w:rsid w:val="007A542F"/>
    <w:rsid w:val="007A5C1C"/>
    <w:rsid w:val="007A5DD7"/>
    <w:rsid w:val="007A6801"/>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94B"/>
    <w:rsid w:val="007C6C06"/>
    <w:rsid w:val="007C6D80"/>
    <w:rsid w:val="007C7935"/>
    <w:rsid w:val="007C79F9"/>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9B2"/>
    <w:rsid w:val="007E3FE6"/>
    <w:rsid w:val="007E44D6"/>
    <w:rsid w:val="007E45AD"/>
    <w:rsid w:val="007E460A"/>
    <w:rsid w:val="007E489B"/>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BB0"/>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2DB1"/>
    <w:rsid w:val="008036F3"/>
    <w:rsid w:val="0080379E"/>
    <w:rsid w:val="00803ABB"/>
    <w:rsid w:val="008042B5"/>
    <w:rsid w:val="0080575D"/>
    <w:rsid w:val="00805936"/>
    <w:rsid w:val="00805ED6"/>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5F9C"/>
    <w:rsid w:val="00816485"/>
    <w:rsid w:val="0081684B"/>
    <w:rsid w:val="00816BC0"/>
    <w:rsid w:val="00816CC0"/>
    <w:rsid w:val="00817195"/>
    <w:rsid w:val="00817B5F"/>
    <w:rsid w:val="00817B9B"/>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2C6A"/>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C25"/>
    <w:rsid w:val="00837E89"/>
    <w:rsid w:val="0084039B"/>
    <w:rsid w:val="00840446"/>
    <w:rsid w:val="008406A4"/>
    <w:rsid w:val="008408DD"/>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1DDF"/>
    <w:rsid w:val="008525FB"/>
    <w:rsid w:val="00852660"/>
    <w:rsid w:val="00853436"/>
    <w:rsid w:val="00853715"/>
    <w:rsid w:val="00854089"/>
    <w:rsid w:val="008543B6"/>
    <w:rsid w:val="00854CB5"/>
    <w:rsid w:val="0085569B"/>
    <w:rsid w:val="008564C2"/>
    <w:rsid w:val="00856821"/>
    <w:rsid w:val="00856A4B"/>
    <w:rsid w:val="00857899"/>
    <w:rsid w:val="00857F8A"/>
    <w:rsid w:val="008602EE"/>
    <w:rsid w:val="00860B5B"/>
    <w:rsid w:val="0086130F"/>
    <w:rsid w:val="00861758"/>
    <w:rsid w:val="008619CD"/>
    <w:rsid w:val="00861F2F"/>
    <w:rsid w:val="00862147"/>
    <w:rsid w:val="0086378B"/>
    <w:rsid w:val="00864C20"/>
    <w:rsid w:val="0086506A"/>
    <w:rsid w:val="00865F2C"/>
    <w:rsid w:val="00866621"/>
    <w:rsid w:val="00866954"/>
    <w:rsid w:val="00866E4F"/>
    <w:rsid w:val="00866E62"/>
    <w:rsid w:val="00866F79"/>
    <w:rsid w:val="0086779A"/>
    <w:rsid w:val="00867ACE"/>
    <w:rsid w:val="00867D71"/>
    <w:rsid w:val="00867F70"/>
    <w:rsid w:val="00870905"/>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BEF"/>
    <w:rsid w:val="008823BF"/>
    <w:rsid w:val="0088279C"/>
    <w:rsid w:val="00882813"/>
    <w:rsid w:val="00882BF5"/>
    <w:rsid w:val="0088304D"/>
    <w:rsid w:val="008838E9"/>
    <w:rsid w:val="0088445C"/>
    <w:rsid w:val="008852FB"/>
    <w:rsid w:val="0088544B"/>
    <w:rsid w:val="00885654"/>
    <w:rsid w:val="00885672"/>
    <w:rsid w:val="00885BA6"/>
    <w:rsid w:val="00886260"/>
    <w:rsid w:val="0088676B"/>
    <w:rsid w:val="008870DE"/>
    <w:rsid w:val="00890CE1"/>
    <w:rsid w:val="00890D66"/>
    <w:rsid w:val="008913B5"/>
    <w:rsid w:val="00891909"/>
    <w:rsid w:val="008919EC"/>
    <w:rsid w:val="00891CB5"/>
    <w:rsid w:val="0089232E"/>
    <w:rsid w:val="008923F4"/>
    <w:rsid w:val="00892953"/>
    <w:rsid w:val="008934E0"/>
    <w:rsid w:val="00893C84"/>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2B8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59D"/>
    <w:rsid w:val="008C7A4E"/>
    <w:rsid w:val="008D01E5"/>
    <w:rsid w:val="008D0218"/>
    <w:rsid w:val="008D0816"/>
    <w:rsid w:val="008D0865"/>
    <w:rsid w:val="008D0928"/>
    <w:rsid w:val="008D13EC"/>
    <w:rsid w:val="008D1853"/>
    <w:rsid w:val="008D23EE"/>
    <w:rsid w:val="008D2986"/>
    <w:rsid w:val="008D40E6"/>
    <w:rsid w:val="008D41DC"/>
    <w:rsid w:val="008D4224"/>
    <w:rsid w:val="008D47D9"/>
    <w:rsid w:val="008D4C6E"/>
    <w:rsid w:val="008D54A8"/>
    <w:rsid w:val="008D55B2"/>
    <w:rsid w:val="008D5827"/>
    <w:rsid w:val="008D66BA"/>
    <w:rsid w:val="008D7FFB"/>
    <w:rsid w:val="008E00D2"/>
    <w:rsid w:val="008E02E0"/>
    <w:rsid w:val="008E090C"/>
    <w:rsid w:val="008E0AB5"/>
    <w:rsid w:val="008E1A58"/>
    <w:rsid w:val="008E2EF9"/>
    <w:rsid w:val="008E3107"/>
    <w:rsid w:val="008E4379"/>
    <w:rsid w:val="008E4772"/>
    <w:rsid w:val="008E486D"/>
    <w:rsid w:val="008E53C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D16"/>
    <w:rsid w:val="008F5ED3"/>
    <w:rsid w:val="008F645A"/>
    <w:rsid w:val="008F6823"/>
    <w:rsid w:val="008F686C"/>
    <w:rsid w:val="008F6A16"/>
    <w:rsid w:val="008F6AD9"/>
    <w:rsid w:val="008F76CE"/>
    <w:rsid w:val="008F7820"/>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06"/>
    <w:rsid w:val="00926ED5"/>
    <w:rsid w:val="009272E3"/>
    <w:rsid w:val="0092775D"/>
    <w:rsid w:val="0092778C"/>
    <w:rsid w:val="00930619"/>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A71"/>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526"/>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466"/>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69E8"/>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44E"/>
    <w:rsid w:val="00994A2F"/>
    <w:rsid w:val="00994B86"/>
    <w:rsid w:val="0099588B"/>
    <w:rsid w:val="00995B37"/>
    <w:rsid w:val="00995B3E"/>
    <w:rsid w:val="00995F6E"/>
    <w:rsid w:val="00996C43"/>
    <w:rsid w:val="00996E9C"/>
    <w:rsid w:val="009A1ED0"/>
    <w:rsid w:val="009A2B27"/>
    <w:rsid w:val="009A2D5F"/>
    <w:rsid w:val="009A2FB8"/>
    <w:rsid w:val="009A37B3"/>
    <w:rsid w:val="009A3909"/>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0BC"/>
    <w:rsid w:val="009B1114"/>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488"/>
    <w:rsid w:val="009B77A7"/>
    <w:rsid w:val="009C091F"/>
    <w:rsid w:val="009C095C"/>
    <w:rsid w:val="009C099F"/>
    <w:rsid w:val="009C0EE1"/>
    <w:rsid w:val="009C0F68"/>
    <w:rsid w:val="009C2553"/>
    <w:rsid w:val="009C263A"/>
    <w:rsid w:val="009C270F"/>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2F40"/>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2AB7"/>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29"/>
    <w:rsid w:val="009F774E"/>
    <w:rsid w:val="009F77F5"/>
    <w:rsid w:val="009F7835"/>
    <w:rsid w:val="00A003C6"/>
    <w:rsid w:val="00A0065B"/>
    <w:rsid w:val="00A0072D"/>
    <w:rsid w:val="00A00825"/>
    <w:rsid w:val="00A00C25"/>
    <w:rsid w:val="00A00F3A"/>
    <w:rsid w:val="00A01233"/>
    <w:rsid w:val="00A0142E"/>
    <w:rsid w:val="00A01640"/>
    <w:rsid w:val="00A0171F"/>
    <w:rsid w:val="00A01F5F"/>
    <w:rsid w:val="00A02A67"/>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75A"/>
    <w:rsid w:val="00A23967"/>
    <w:rsid w:val="00A2466F"/>
    <w:rsid w:val="00A25A55"/>
    <w:rsid w:val="00A25C96"/>
    <w:rsid w:val="00A2603A"/>
    <w:rsid w:val="00A2692C"/>
    <w:rsid w:val="00A26CAD"/>
    <w:rsid w:val="00A26D9F"/>
    <w:rsid w:val="00A274A8"/>
    <w:rsid w:val="00A27F12"/>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75F"/>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774"/>
    <w:rsid w:val="00AA0915"/>
    <w:rsid w:val="00AA09D5"/>
    <w:rsid w:val="00AA0AA9"/>
    <w:rsid w:val="00AA0EF0"/>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5C5"/>
    <w:rsid w:val="00AB2A01"/>
    <w:rsid w:val="00AB2E13"/>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0E37"/>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AF7B5F"/>
    <w:rsid w:val="00B003A8"/>
    <w:rsid w:val="00B011F2"/>
    <w:rsid w:val="00B01309"/>
    <w:rsid w:val="00B0145F"/>
    <w:rsid w:val="00B017C6"/>
    <w:rsid w:val="00B01995"/>
    <w:rsid w:val="00B01A89"/>
    <w:rsid w:val="00B0254F"/>
    <w:rsid w:val="00B025BD"/>
    <w:rsid w:val="00B028A9"/>
    <w:rsid w:val="00B02CF8"/>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3C4"/>
    <w:rsid w:val="00B22665"/>
    <w:rsid w:val="00B226A9"/>
    <w:rsid w:val="00B22C4C"/>
    <w:rsid w:val="00B22F37"/>
    <w:rsid w:val="00B2478E"/>
    <w:rsid w:val="00B250A4"/>
    <w:rsid w:val="00B258BB"/>
    <w:rsid w:val="00B25B10"/>
    <w:rsid w:val="00B25C36"/>
    <w:rsid w:val="00B25F8E"/>
    <w:rsid w:val="00B2609E"/>
    <w:rsid w:val="00B265F0"/>
    <w:rsid w:val="00B266A0"/>
    <w:rsid w:val="00B266A5"/>
    <w:rsid w:val="00B267E4"/>
    <w:rsid w:val="00B27E21"/>
    <w:rsid w:val="00B27FA1"/>
    <w:rsid w:val="00B30150"/>
    <w:rsid w:val="00B3301A"/>
    <w:rsid w:val="00B3372F"/>
    <w:rsid w:val="00B33C1C"/>
    <w:rsid w:val="00B33E76"/>
    <w:rsid w:val="00B33EC9"/>
    <w:rsid w:val="00B3431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3BB"/>
    <w:rsid w:val="00B42594"/>
    <w:rsid w:val="00B434EA"/>
    <w:rsid w:val="00B43705"/>
    <w:rsid w:val="00B44469"/>
    <w:rsid w:val="00B447E9"/>
    <w:rsid w:val="00B452B6"/>
    <w:rsid w:val="00B4593D"/>
    <w:rsid w:val="00B45D24"/>
    <w:rsid w:val="00B46599"/>
    <w:rsid w:val="00B46AEC"/>
    <w:rsid w:val="00B46CCB"/>
    <w:rsid w:val="00B47066"/>
    <w:rsid w:val="00B479B4"/>
    <w:rsid w:val="00B47C82"/>
    <w:rsid w:val="00B47E18"/>
    <w:rsid w:val="00B50545"/>
    <w:rsid w:val="00B50FEF"/>
    <w:rsid w:val="00B517AD"/>
    <w:rsid w:val="00B51C36"/>
    <w:rsid w:val="00B51F1C"/>
    <w:rsid w:val="00B522BB"/>
    <w:rsid w:val="00B52330"/>
    <w:rsid w:val="00B5318A"/>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57FE0"/>
    <w:rsid w:val="00B600BC"/>
    <w:rsid w:val="00B6021B"/>
    <w:rsid w:val="00B610F7"/>
    <w:rsid w:val="00B62816"/>
    <w:rsid w:val="00B637B1"/>
    <w:rsid w:val="00B63B4E"/>
    <w:rsid w:val="00B64049"/>
    <w:rsid w:val="00B64B08"/>
    <w:rsid w:val="00B64DB2"/>
    <w:rsid w:val="00B652DD"/>
    <w:rsid w:val="00B660B7"/>
    <w:rsid w:val="00B666FC"/>
    <w:rsid w:val="00B66841"/>
    <w:rsid w:val="00B66CD3"/>
    <w:rsid w:val="00B67B05"/>
    <w:rsid w:val="00B67EC5"/>
    <w:rsid w:val="00B70044"/>
    <w:rsid w:val="00B706FC"/>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3EF3"/>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608B"/>
    <w:rsid w:val="00BA7047"/>
    <w:rsid w:val="00BA7146"/>
    <w:rsid w:val="00BA7C89"/>
    <w:rsid w:val="00BA7CA3"/>
    <w:rsid w:val="00BB034A"/>
    <w:rsid w:val="00BB03AE"/>
    <w:rsid w:val="00BB05C9"/>
    <w:rsid w:val="00BB07D1"/>
    <w:rsid w:val="00BB0812"/>
    <w:rsid w:val="00BB091B"/>
    <w:rsid w:val="00BB0C3D"/>
    <w:rsid w:val="00BB12A1"/>
    <w:rsid w:val="00BB16ED"/>
    <w:rsid w:val="00BB2595"/>
    <w:rsid w:val="00BB32AF"/>
    <w:rsid w:val="00BB3F4E"/>
    <w:rsid w:val="00BB40FD"/>
    <w:rsid w:val="00BB4411"/>
    <w:rsid w:val="00BB4F3B"/>
    <w:rsid w:val="00BB4FF9"/>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82"/>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4E5"/>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907"/>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47083"/>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5F70"/>
    <w:rsid w:val="00C5669B"/>
    <w:rsid w:val="00C56719"/>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4C2"/>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039"/>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816"/>
    <w:rsid w:val="00CA2AE0"/>
    <w:rsid w:val="00CA2E1D"/>
    <w:rsid w:val="00CA398E"/>
    <w:rsid w:val="00CA42E3"/>
    <w:rsid w:val="00CA562B"/>
    <w:rsid w:val="00CA5CEF"/>
    <w:rsid w:val="00CA5E00"/>
    <w:rsid w:val="00CA5EBE"/>
    <w:rsid w:val="00CA608C"/>
    <w:rsid w:val="00CA61A1"/>
    <w:rsid w:val="00CA638D"/>
    <w:rsid w:val="00CA6972"/>
    <w:rsid w:val="00CA71E5"/>
    <w:rsid w:val="00CA7765"/>
    <w:rsid w:val="00CA784C"/>
    <w:rsid w:val="00CB0951"/>
    <w:rsid w:val="00CB2190"/>
    <w:rsid w:val="00CB3047"/>
    <w:rsid w:val="00CB413A"/>
    <w:rsid w:val="00CB427D"/>
    <w:rsid w:val="00CB56CB"/>
    <w:rsid w:val="00CB5913"/>
    <w:rsid w:val="00CB5943"/>
    <w:rsid w:val="00CB6175"/>
    <w:rsid w:val="00CB6C8F"/>
    <w:rsid w:val="00CB72F5"/>
    <w:rsid w:val="00CB7614"/>
    <w:rsid w:val="00CB7ED8"/>
    <w:rsid w:val="00CB7F4C"/>
    <w:rsid w:val="00CC0025"/>
    <w:rsid w:val="00CC0244"/>
    <w:rsid w:val="00CC026B"/>
    <w:rsid w:val="00CC0411"/>
    <w:rsid w:val="00CC0C36"/>
    <w:rsid w:val="00CC0E94"/>
    <w:rsid w:val="00CC0FB6"/>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880"/>
    <w:rsid w:val="00CD109E"/>
    <w:rsid w:val="00CD1435"/>
    <w:rsid w:val="00CD16D4"/>
    <w:rsid w:val="00CD19F7"/>
    <w:rsid w:val="00CD1A5F"/>
    <w:rsid w:val="00CD1B91"/>
    <w:rsid w:val="00CD246B"/>
    <w:rsid w:val="00CD267C"/>
    <w:rsid w:val="00CD2D8E"/>
    <w:rsid w:val="00CD3102"/>
    <w:rsid w:val="00CD31D2"/>
    <w:rsid w:val="00CD3464"/>
    <w:rsid w:val="00CD3B4C"/>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1A"/>
    <w:rsid w:val="00CF0576"/>
    <w:rsid w:val="00CF0FF3"/>
    <w:rsid w:val="00CF12EE"/>
    <w:rsid w:val="00CF19E8"/>
    <w:rsid w:val="00CF2059"/>
    <w:rsid w:val="00CF24E7"/>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3AA3"/>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5F6B"/>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7A7"/>
    <w:rsid w:val="00D73E59"/>
    <w:rsid w:val="00D741EC"/>
    <w:rsid w:val="00D7425E"/>
    <w:rsid w:val="00D742BA"/>
    <w:rsid w:val="00D744AA"/>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4E5F"/>
    <w:rsid w:val="00D85123"/>
    <w:rsid w:val="00D853A5"/>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74A"/>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EAB"/>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4E9"/>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1C"/>
    <w:rsid w:val="00DF285E"/>
    <w:rsid w:val="00DF29C0"/>
    <w:rsid w:val="00DF3165"/>
    <w:rsid w:val="00DF38B0"/>
    <w:rsid w:val="00DF3AC4"/>
    <w:rsid w:val="00DF4235"/>
    <w:rsid w:val="00DF5174"/>
    <w:rsid w:val="00DF53D1"/>
    <w:rsid w:val="00DF54C9"/>
    <w:rsid w:val="00DF57EE"/>
    <w:rsid w:val="00DF5BDD"/>
    <w:rsid w:val="00DF618F"/>
    <w:rsid w:val="00DF6838"/>
    <w:rsid w:val="00DF7356"/>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829"/>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6AC3"/>
    <w:rsid w:val="00E174A5"/>
    <w:rsid w:val="00E17CDF"/>
    <w:rsid w:val="00E2014D"/>
    <w:rsid w:val="00E20589"/>
    <w:rsid w:val="00E20DE8"/>
    <w:rsid w:val="00E21593"/>
    <w:rsid w:val="00E2222B"/>
    <w:rsid w:val="00E22469"/>
    <w:rsid w:val="00E231E3"/>
    <w:rsid w:val="00E25B95"/>
    <w:rsid w:val="00E25C5F"/>
    <w:rsid w:val="00E260F5"/>
    <w:rsid w:val="00E262DC"/>
    <w:rsid w:val="00E264CE"/>
    <w:rsid w:val="00E26918"/>
    <w:rsid w:val="00E27CC0"/>
    <w:rsid w:val="00E302EB"/>
    <w:rsid w:val="00E30586"/>
    <w:rsid w:val="00E31230"/>
    <w:rsid w:val="00E31D3A"/>
    <w:rsid w:val="00E328D2"/>
    <w:rsid w:val="00E328D7"/>
    <w:rsid w:val="00E32C71"/>
    <w:rsid w:val="00E33273"/>
    <w:rsid w:val="00E332F2"/>
    <w:rsid w:val="00E334F1"/>
    <w:rsid w:val="00E33C03"/>
    <w:rsid w:val="00E34D0D"/>
    <w:rsid w:val="00E355E6"/>
    <w:rsid w:val="00E35A1F"/>
    <w:rsid w:val="00E35D26"/>
    <w:rsid w:val="00E35DA1"/>
    <w:rsid w:val="00E36165"/>
    <w:rsid w:val="00E364A9"/>
    <w:rsid w:val="00E36A5D"/>
    <w:rsid w:val="00E36F9A"/>
    <w:rsid w:val="00E372C4"/>
    <w:rsid w:val="00E373B7"/>
    <w:rsid w:val="00E37DC2"/>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404"/>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6FE9"/>
    <w:rsid w:val="00E57379"/>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7C5"/>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D82"/>
    <w:rsid w:val="00E82E03"/>
    <w:rsid w:val="00E83C6C"/>
    <w:rsid w:val="00E84B38"/>
    <w:rsid w:val="00E84E3D"/>
    <w:rsid w:val="00E8562D"/>
    <w:rsid w:val="00E867BC"/>
    <w:rsid w:val="00E878FF"/>
    <w:rsid w:val="00E90033"/>
    <w:rsid w:val="00E900CA"/>
    <w:rsid w:val="00E90AEF"/>
    <w:rsid w:val="00E90EB0"/>
    <w:rsid w:val="00E92DF8"/>
    <w:rsid w:val="00E93FDF"/>
    <w:rsid w:val="00E94598"/>
    <w:rsid w:val="00E95A74"/>
    <w:rsid w:val="00E95C51"/>
    <w:rsid w:val="00E961C6"/>
    <w:rsid w:val="00E962E6"/>
    <w:rsid w:val="00E9663C"/>
    <w:rsid w:val="00E96B09"/>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5A75"/>
    <w:rsid w:val="00EA6721"/>
    <w:rsid w:val="00EA6D9B"/>
    <w:rsid w:val="00EA7DC2"/>
    <w:rsid w:val="00EB02C3"/>
    <w:rsid w:val="00EB0E2D"/>
    <w:rsid w:val="00EB113D"/>
    <w:rsid w:val="00EB17D9"/>
    <w:rsid w:val="00EB17F6"/>
    <w:rsid w:val="00EB190E"/>
    <w:rsid w:val="00EB1D60"/>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6EE0"/>
    <w:rsid w:val="00ED71AF"/>
    <w:rsid w:val="00ED7202"/>
    <w:rsid w:val="00ED753E"/>
    <w:rsid w:val="00EE0078"/>
    <w:rsid w:val="00EE015C"/>
    <w:rsid w:val="00EE0840"/>
    <w:rsid w:val="00EE0841"/>
    <w:rsid w:val="00EE0EA9"/>
    <w:rsid w:val="00EE1037"/>
    <w:rsid w:val="00EE15F2"/>
    <w:rsid w:val="00EE17EA"/>
    <w:rsid w:val="00EE1ABD"/>
    <w:rsid w:val="00EE1DCD"/>
    <w:rsid w:val="00EE2172"/>
    <w:rsid w:val="00EE3135"/>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34D"/>
    <w:rsid w:val="00F0770C"/>
    <w:rsid w:val="00F077AD"/>
    <w:rsid w:val="00F07935"/>
    <w:rsid w:val="00F07C94"/>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6FD"/>
    <w:rsid w:val="00F349B7"/>
    <w:rsid w:val="00F34AF0"/>
    <w:rsid w:val="00F34EF5"/>
    <w:rsid w:val="00F353D8"/>
    <w:rsid w:val="00F359F4"/>
    <w:rsid w:val="00F35CB4"/>
    <w:rsid w:val="00F36C5D"/>
    <w:rsid w:val="00F37677"/>
    <w:rsid w:val="00F37A5A"/>
    <w:rsid w:val="00F37ED4"/>
    <w:rsid w:val="00F41644"/>
    <w:rsid w:val="00F4167D"/>
    <w:rsid w:val="00F417BB"/>
    <w:rsid w:val="00F41C9F"/>
    <w:rsid w:val="00F42333"/>
    <w:rsid w:val="00F428BD"/>
    <w:rsid w:val="00F429B5"/>
    <w:rsid w:val="00F42C5F"/>
    <w:rsid w:val="00F4312C"/>
    <w:rsid w:val="00F431BB"/>
    <w:rsid w:val="00F435D4"/>
    <w:rsid w:val="00F436AB"/>
    <w:rsid w:val="00F4420B"/>
    <w:rsid w:val="00F45882"/>
    <w:rsid w:val="00F45898"/>
    <w:rsid w:val="00F460F7"/>
    <w:rsid w:val="00F469DC"/>
    <w:rsid w:val="00F4735F"/>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334"/>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3E4"/>
    <w:rsid w:val="00FA2710"/>
    <w:rsid w:val="00FA2A2B"/>
    <w:rsid w:val="00FA2CF7"/>
    <w:rsid w:val="00FA3312"/>
    <w:rsid w:val="00FA3CDE"/>
    <w:rsid w:val="00FA43CE"/>
    <w:rsid w:val="00FA44FA"/>
    <w:rsid w:val="00FA502A"/>
    <w:rsid w:val="00FA5BE4"/>
    <w:rsid w:val="00FA7776"/>
    <w:rsid w:val="00FA7BAE"/>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2AA5"/>
    <w:rsid w:val="00FC3694"/>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67B"/>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DA4"/>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E0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08483861">
      <w:bodyDiv w:val="1"/>
      <w:marLeft w:val="0"/>
      <w:marRight w:val="0"/>
      <w:marTop w:val="0"/>
      <w:marBottom w:val="0"/>
      <w:divBdr>
        <w:top w:val="none" w:sz="0" w:space="0" w:color="auto"/>
        <w:left w:val="none" w:sz="0" w:space="0" w:color="auto"/>
        <w:bottom w:val="none" w:sz="0" w:space="0" w:color="auto"/>
        <w:right w:val="none" w:sz="0" w:space="0" w:color="auto"/>
      </w:divBdr>
      <w:divsChild>
        <w:div w:id="502864021">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0936540">
      <w:bodyDiv w:val="1"/>
      <w:marLeft w:val="0"/>
      <w:marRight w:val="0"/>
      <w:marTop w:val="0"/>
      <w:marBottom w:val="0"/>
      <w:divBdr>
        <w:top w:val="none" w:sz="0" w:space="0" w:color="auto"/>
        <w:left w:val="none" w:sz="0" w:space="0" w:color="auto"/>
        <w:bottom w:val="none" w:sz="0" w:space="0" w:color="auto"/>
        <w:right w:val="none" w:sz="0" w:space="0" w:color="auto"/>
      </w:divBdr>
      <w:divsChild>
        <w:div w:id="950937948">
          <w:marLeft w:val="446"/>
          <w:marRight w:val="0"/>
          <w:marTop w:val="0"/>
          <w:marBottom w:val="0"/>
          <w:divBdr>
            <w:top w:val="none" w:sz="0" w:space="0" w:color="auto"/>
            <w:left w:val="none" w:sz="0" w:space="0" w:color="auto"/>
            <w:bottom w:val="none" w:sz="0" w:space="0" w:color="auto"/>
            <w:right w:val="none" w:sz="0" w:space="0" w:color="auto"/>
          </w:divBdr>
        </w:div>
        <w:div w:id="16515746">
          <w:marLeft w:val="1166"/>
          <w:marRight w:val="0"/>
          <w:marTop w:val="0"/>
          <w:marBottom w:val="0"/>
          <w:divBdr>
            <w:top w:val="none" w:sz="0" w:space="0" w:color="auto"/>
            <w:left w:val="none" w:sz="0" w:space="0" w:color="auto"/>
            <w:bottom w:val="none" w:sz="0" w:space="0" w:color="auto"/>
            <w:right w:val="none" w:sz="0" w:space="0" w:color="auto"/>
          </w:divBdr>
        </w:div>
        <w:div w:id="220333811">
          <w:marLeft w:val="1166"/>
          <w:marRight w:val="0"/>
          <w:marTop w:val="0"/>
          <w:marBottom w:val="0"/>
          <w:divBdr>
            <w:top w:val="none" w:sz="0" w:space="0" w:color="auto"/>
            <w:left w:val="none" w:sz="0" w:space="0" w:color="auto"/>
            <w:bottom w:val="none" w:sz="0" w:space="0" w:color="auto"/>
            <w:right w:val="none" w:sz="0" w:space="0" w:color="auto"/>
          </w:divBdr>
        </w:div>
        <w:div w:id="1161123413">
          <w:marLeft w:val="1166"/>
          <w:marRight w:val="0"/>
          <w:marTop w:val="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923363">
      <w:bodyDiv w:val="1"/>
      <w:marLeft w:val="0"/>
      <w:marRight w:val="0"/>
      <w:marTop w:val="0"/>
      <w:marBottom w:val="0"/>
      <w:divBdr>
        <w:top w:val="none" w:sz="0" w:space="0" w:color="auto"/>
        <w:left w:val="none" w:sz="0" w:space="0" w:color="auto"/>
        <w:bottom w:val="none" w:sz="0" w:space="0" w:color="auto"/>
        <w:right w:val="none" w:sz="0" w:space="0" w:color="auto"/>
      </w:divBdr>
      <w:divsChild>
        <w:div w:id="1157914791">
          <w:marLeft w:val="1166"/>
          <w:marRight w:val="0"/>
          <w:marTop w:val="0"/>
          <w:marBottom w:val="0"/>
          <w:divBdr>
            <w:top w:val="none" w:sz="0" w:space="0" w:color="auto"/>
            <w:left w:val="none" w:sz="0" w:space="0" w:color="auto"/>
            <w:bottom w:val="none" w:sz="0" w:space="0" w:color="auto"/>
            <w:right w:val="none" w:sz="0" w:space="0" w:color="auto"/>
          </w:divBdr>
        </w:div>
        <w:div w:id="1084494640">
          <w:marLeft w:val="1886"/>
          <w:marRight w:val="0"/>
          <w:marTop w:val="0"/>
          <w:marBottom w:val="0"/>
          <w:divBdr>
            <w:top w:val="none" w:sz="0" w:space="0" w:color="auto"/>
            <w:left w:val="none" w:sz="0" w:space="0" w:color="auto"/>
            <w:bottom w:val="none" w:sz="0" w:space="0" w:color="auto"/>
            <w:right w:val="none" w:sz="0" w:space="0" w:color="auto"/>
          </w:divBdr>
        </w:div>
        <w:div w:id="534004092">
          <w:marLeft w:val="1886"/>
          <w:marRight w:val="0"/>
          <w:marTop w:val="0"/>
          <w:marBottom w:val="0"/>
          <w:divBdr>
            <w:top w:val="none" w:sz="0" w:space="0" w:color="auto"/>
            <w:left w:val="none" w:sz="0" w:space="0" w:color="auto"/>
            <w:bottom w:val="none" w:sz="0" w:space="0" w:color="auto"/>
            <w:right w:val="none" w:sz="0" w:space="0" w:color="auto"/>
          </w:divBdr>
        </w:div>
      </w:divsChild>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25164498">
      <w:bodyDiv w:val="1"/>
      <w:marLeft w:val="0"/>
      <w:marRight w:val="0"/>
      <w:marTop w:val="0"/>
      <w:marBottom w:val="0"/>
      <w:divBdr>
        <w:top w:val="none" w:sz="0" w:space="0" w:color="auto"/>
        <w:left w:val="none" w:sz="0" w:space="0" w:color="auto"/>
        <w:bottom w:val="none" w:sz="0" w:space="0" w:color="auto"/>
        <w:right w:val="none" w:sz="0" w:space="0" w:color="auto"/>
      </w:divBdr>
      <w:divsChild>
        <w:div w:id="1003971484">
          <w:marLeft w:val="806"/>
          <w:marRight w:val="0"/>
          <w:marTop w:val="200"/>
          <w:marBottom w:val="0"/>
          <w:divBdr>
            <w:top w:val="none" w:sz="0" w:space="0" w:color="auto"/>
            <w:left w:val="none" w:sz="0" w:space="0" w:color="auto"/>
            <w:bottom w:val="none" w:sz="0" w:space="0" w:color="auto"/>
            <w:right w:val="none" w:sz="0" w:space="0" w:color="auto"/>
          </w:divBdr>
        </w:div>
        <w:div w:id="810440998">
          <w:marLeft w:val="1080"/>
          <w:marRight w:val="0"/>
          <w:marTop w:val="100"/>
          <w:marBottom w:val="0"/>
          <w:divBdr>
            <w:top w:val="none" w:sz="0" w:space="0" w:color="auto"/>
            <w:left w:val="none" w:sz="0" w:space="0" w:color="auto"/>
            <w:bottom w:val="none" w:sz="0" w:space="0" w:color="auto"/>
            <w:right w:val="none" w:sz="0" w:space="0" w:color="auto"/>
          </w:divBdr>
        </w:div>
        <w:div w:id="1608200248">
          <w:marLeft w:val="1080"/>
          <w:marRight w:val="0"/>
          <w:marTop w:val="100"/>
          <w:marBottom w:val="0"/>
          <w:divBdr>
            <w:top w:val="none" w:sz="0" w:space="0" w:color="auto"/>
            <w:left w:val="none" w:sz="0" w:space="0" w:color="auto"/>
            <w:bottom w:val="none" w:sz="0" w:space="0" w:color="auto"/>
            <w:right w:val="none" w:sz="0" w:space="0" w:color="auto"/>
          </w:divBdr>
        </w:div>
        <w:div w:id="145778237">
          <w:marLeft w:val="806"/>
          <w:marRight w:val="0"/>
          <w:marTop w:val="200"/>
          <w:marBottom w:val="0"/>
          <w:divBdr>
            <w:top w:val="none" w:sz="0" w:space="0" w:color="auto"/>
            <w:left w:val="none" w:sz="0" w:space="0" w:color="auto"/>
            <w:bottom w:val="none" w:sz="0" w:space="0" w:color="auto"/>
            <w:right w:val="none" w:sz="0" w:space="0" w:color="auto"/>
          </w:divBdr>
        </w:div>
        <w:div w:id="890579964">
          <w:marLeft w:val="1080"/>
          <w:marRight w:val="0"/>
          <w:marTop w:val="100"/>
          <w:marBottom w:val="0"/>
          <w:divBdr>
            <w:top w:val="none" w:sz="0" w:space="0" w:color="auto"/>
            <w:left w:val="none" w:sz="0" w:space="0" w:color="auto"/>
            <w:bottom w:val="none" w:sz="0" w:space="0" w:color="auto"/>
            <w:right w:val="none" w:sz="0" w:space="0" w:color="auto"/>
          </w:divBdr>
        </w:div>
        <w:div w:id="1361587589">
          <w:marLeft w:val="2520"/>
          <w:marRight w:val="0"/>
          <w:marTop w:val="100"/>
          <w:marBottom w:val="0"/>
          <w:divBdr>
            <w:top w:val="none" w:sz="0" w:space="0" w:color="auto"/>
            <w:left w:val="none" w:sz="0" w:space="0" w:color="auto"/>
            <w:bottom w:val="none" w:sz="0" w:space="0" w:color="auto"/>
            <w:right w:val="none" w:sz="0" w:space="0" w:color="auto"/>
          </w:divBdr>
        </w:div>
        <w:div w:id="703604916">
          <w:marLeft w:val="2520"/>
          <w:marRight w:val="0"/>
          <w:marTop w:val="100"/>
          <w:marBottom w:val="0"/>
          <w:divBdr>
            <w:top w:val="none" w:sz="0" w:space="0" w:color="auto"/>
            <w:left w:val="none" w:sz="0" w:space="0" w:color="auto"/>
            <w:bottom w:val="none" w:sz="0" w:space="0" w:color="auto"/>
            <w:right w:val="none" w:sz="0" w:space="0" w:color="auto"/>
          </w:divBdr>
        </w:div>
        <w:div w:id="1551305041">
          <w:marLeft w:val="1080"/>
          <w:marRight w:val="0"/>
          <w:marTop w:val="100"/>
          <w:marBottom w:val="0"/>
          <w:divBdr>
            <w:top w:val="none" w:sz="0" w:space="0" w:color="auto"/>
            <w:left w:val="none" w:sz="0" w:space="0" w:color="auto"/>
            <w:bottom w:val="none" w:sz="0" w:space="0" w:color="auto"/>
            <w:right w:val="none" w:sz="0" w:space="0" w:color="auto"/>
          </w:divBdr>
        </w:div>
        <w:div w:id="1814251380">
          <w:marLeft w:val="1080"/>
          <w:marRight w:val="0"/>
          <w:marTop w:val="100"/>
          <w:marBottom w:val="0"/>
          <w:divBdr>
            <w:top w:val="none" w:sz="0" w:space="0" w:color="auto"/>
            <w:left w:val="none" w:sz="0" w:space="0" w:color="auto"/>
            <w:bottom w:val="none" w:sz="0" w:space="0" w:color="auto"/>
            <w:right w:val="none" w:sz="0" w:space="0" w:color="auto"/>
          </w:divBdr>
        </w:div>
        <w:div w:id="107239190">
          <w:marLeft w:val="806"/>
          <w:marRight w:val="0"/>
          <w:marTop w:val="200"/>
          <w:marBottom w:val="0"/>
          <w:divBdr>
            <w:top w:val="none" w:sz="0" w:space="0" w:color="auto"/>
            <w:left w:val="none" w:sz="0" w:space="0" w:color="auto"/>
            <w:bottom w:val="none" w:sz="0" w:space="0" w:color="auto"/>
            <w:right w:val="none" w:sz="0" w:space="0" w:color="auto"/>
          </w:divBdr>
        </w:div>
        <w:div w:id="1522163358">
          <w:marLeft w:val="1080"/>
          <w:marRight w:val="0"/>
          <w:marTop w:val="100"/>
          <w:marBottom w:val="0"/>
          <w:divBdr>
            <w:top w:val="none" w:sz="0" w:space="0" w:color="auto"/>
            <w:left w:val="none" w:sz="0" w:space="0" w:color="auto"/>
            <w:bottom w:val="none" w:sz="0" w:space="0" w:color="auto"/>
            <w:right w:val="none" w:sz="0" w:space="0" w:color="auto"/>
          </w:divBdr>
        </w:div>
        <w:div w:id="436096946">
          <w:marLeft w:val="1800"/>
          <w:marRight w:val="0"/>
          <w:marTop w:val="100"/>
          <w:marBottom w:val="0"/>
          <w:divBdr>
            <w:top w:val="none" w:sz="0" w:space="0" w:color="auto"/>
            <w:left w:val="none" w:sz="0" w:space="0" w:color="auto"/>
            <w:bottom w:val="none" w:sz="0" w:space="0" w:color="auto"/>
            <w:right w:val="none" w:sz="0" w:space="0" w:color="auto"/>
          </w:divBdr>
        </w:div>
        <w:div w:id="862354842">
          <w:marLeft w:val="2520"/>
          <w:marRight w:val="0"/>
          <w:marTop w:val="100"/>
          <w:marBottom w:val="0"/>
          <w:divBdr>
            <w:top w:val="none" w:sz="0" w:space="0" w:color="auto"/>
            <w:left w:val="none" w:sz="0" w:space="0" w:color="auto"/>
            <w:bottom w:val="none" w:sz="0" w:space="0" w:color="auto"/>
            <w:right w:val="none" w:sz="0" w:space="0" w:color="auto"/>
          </w:divBdr>
        </w:div>
        <w:div w:id="794444845">
          <w:marLeft w:val="1800"/>
          <w:marRight w:val="0"/>
          <w:marTop w:val="100"/>
          <w:marBottom w:val="0"/>
          <w:divBdr>
            <w:top w:val="none" w:sz="0" w:space="0" w:color="auto"/>
            <w:left w:val="none" w:sz="0" w:space="0" w:color="auto"/>
            <w:bottom w:val="none" w:sz="0" w:space="0" w:color="auto"/>
            <w:right w:val="none" w:sz="0" w:space="0" w:color="auto"/>
          </w:divBdr>
        </w:div>
        <w:div w:id="1986737906">
          <w:marLeft w:val="1080"/>
          <w:marRight w:val="0"/>
          <w:marTop w:val="100"/>
          <w:marBottom w:val="0"/>
          <w:divBdr>
            <w:top w:val="none" w:sz="0" w:space="0" w:color="auto"/>
            <w:left w:val="none" w:sz="0" w:space="0" w:color="auto"/>
            <w:bottom w:val="none" w:sz="0" w:space="0" w:color="auto"/>
            <w:right w:val="none" w:sz="0" w:space="0" w:color="auto"/>
          </w:divBdr>
        </w:div>
        <w:div w:id="1145198607">
          <w:marLeft w:val="806"/>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25631472">
      <w:bodyDiv w:val="1"/>
      <w:marLeft w:val="0"/>
      <w:marRight w:val="0"/>
      <w:marTop w:val="0"/>
      <w:marBottom w:val="0"/>
      <w:divBdr>
        <w:top w:val="none" w:sz="0" w:space="0" w:color="auto"/>
        <w:left w:val="none" w:sz="0" w:space="0" w:color="auto"/>
        <w:bottom w:val="none" w:sz="0" w:space="0" w:color="auto"/>
        <w:right w:val="none" w:sz="0" w:space="0" w:color="auto"/>
      </w:divBdr>
      <w:divsChild>
        <w:div w:id="27991171">
          <w:marLeft w:val="446"/>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06363924">
      <w:bodyDiv w:val="1"/>
      <w:marLeft w:val="0"/>
      <w:marRight w:val="0"/>
      <w:marTop w:val="0"/>
      <w:marBottom w:val="0"/>
      <w:divBdr>
        <w:top w:val="none" w:sz="0" w:space="0" w:color="auto"/>
        <w:left w:val="none" w:sz="0" w:space="0" w:color="auto"/>
        <w:bottom w:val="none" w:sz="0" w:space="0" w:color="auto"/>
        <w:right w:val="none" w:sz="0" w:space="0" w:color="auto"/>
      </w:divBdr>
      <w:divsChild>
        <w:div w:id="95832065">
          <w:marLeft w:val="446"/>
          <w:marRight w:val="0"/>
          <w:marTop w:val="0"/>
          <w:marBottom w:val="0"/>
          <w:divBdr>
            <w:top w:val="none" w:sz="0" w:space="0" w:color="auto"/>
            <w:left w:val="none" w:sz="0" w:space="0" w:color="auto"/>
            <w:bottom w:val="none" w:sz="0" w:space="0" w:color="auto"/>
            <w:right w:val="none" w:sz="0" w:space="0" w:color="auto"/>
          </w:divBdr>
        </w:div>
        <w:div w:id="1560440015">
          <w:marLeft w:val="1166"/>
          <w:marRight w:val="0"/>
          <w:marTop w:val="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4325719">
      <w:bodyDiv w:val="1"/>
      <w:marLeft w:val="0"/>
      <w:marRight w:val="0"/>
      <w:marTop w:val="0"/>
      <w:marBottom w:val="0"/>
      <w:divBdr>
        <w:top w:val="none" w:sz="0" w:space="0" w:color="auto"/>
        <w:left w:val="none" w:sz="0" w:space="0" w:color="auto"/>
        <w:bottom w:val="none" w:sz="0" w:space="0" w:color="auto"/>
        <w:right w:val="none" w:sz="0" w:space="0" w:color="auto"/>
      </w:divBdr>
      <w:divsChild>
        <w:div w:id="2097051118">
          <w:marLeft w:val="1886"/>
          <w:marRight w:val="0"/>
          <w:marTop w:val="0"/>
          <w:marBottom w:val="0"/>
          <w:divBdr>
            <w:top w:val="none" w:sz="0" w:space="0" w:color="auto"/>
            <w:left w:val="none" w:sz="0" w:space="0" w:color="auto"/>
            <w:bottom w:val="none" w:sz="0" w:space="0" w:color="auto"/>
            <w:right w:val="none" w:sz="0" w:space="0" w:color="auto"/>
          </w:divBdr>
        </w:div>
        <w:div w:id="110902172">
          <w:marLeft w:val="2606"/>
          <w:marRight w:val="0"/>
          <w:marTop w:val="0"/>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1970018">
      <w:bodyDiv w:val="1"/>
      <w:marLeft w:val="0"/>
      <w:marRight w:val="0"/>
      <w:marTop w:val="0"/>
      <w:marBottom w:val="0"/>
      <w:divBdr>
        <w:top w:val="none" w:sz="0" w:space="0" w:color="auto"/>
        <w:left w:val="none" w:sz="0" w:space="0" w:color="auto"/>
        <w:bottom w:val="none" w:sz="0" w:space="0" w:color="auto"/>
        <w:right w:val="none" w:sz="0" w:space="0" w:color="auto"/>
      </w:divBdr>
      <w:divsChild>
        <w:div w:id="59400625">
          <w:marLeft w:val="1166"/>
          <w:marRight w:val="0"/>
          <w:marTop w:val="0"/>
          <w:marBottom w:val="0"/>
          <w:divBdr>
            <w:top w:val="none" w:sz="0" w:space="0" w:color="auto"/>
            <w:left w:val="none" w:sz="0" w:space="0" w:color="auto"/>
            <w:bottom w:val="none" w:sz="0" w:space="0" w:color="auto"/>
            <w:right w:val="none" w:sz="0" w:space="0" w:color="auto"/>
          </w:divBdr>
        </w:div>
        <w:div w:id="959914159">
          <w:marLeft w:val="1886"/>
          <w:marRight w:val="0"/>
          <w:marTop w:val="0"/>
          <w:marBottom w:val="0"/>
          <w:divBdr>
            <w:top w:val="none" w:sz="0" w:space="0" w:color="auto"/>
            <w:left w:val="none" w:sz="0" w:space="0" w:color="auto"/>
            <w:bottom w:val="none" w:sz="0" w:space="0" w:color="auto"/>
            <w:right w:val="none" w:sz="0" w:space="0" w:color="auto"/>
          </w:divBdr>
        </w:div>
        <w:div w:id="2129734705">
          <w:marLeft w:val="1886"/>
          <w:marRight w:val="0"/>
          <w:marTop w:val="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2790</Words>
  <Characters>15908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2021-08-06T06:58:00Z</dcterms:created>
  <dcterms:modified xsi:type="dcterms:W3CDTF">2021-08-06T15:37:00Z</dcterms:modified>
</cp:coreProperties>
</file>